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media/rId57.png" ContentType="image/png"/>
  <Override PartName="/word/media/rId60.png" ContentType="image/png"/>
  <Override PartName="/word/media/rId26.png" ContentType="image/png"/>
  <Override PartName="/word/media/rId31.png" ContentType="image/png"/>
  <Override PartName="/word/media/rId40.png" ContentType="image/png"/>
  <Override PartName="/word/media/rId50.png" ContentType="image/png"/>
  <Override PartName="/word/media/rId72.png" ContentType="image/png"/>
  <Override PartName="/word/media/rId68.png" ContentType="image/png"/>
  <Override PartName="/word/media/rId76.png" ContentType="image/png"/>
  <Override PartName="/word/media/rId80.png" ContentType="image/png"/>
  <Override PartName="/word/media/rId88.png" ContentType="image/png"/>
  <Override PartName="/word/media/rId84.png" ContentType="image/png"/>
  <Override PartName="/word/media/rId92.png" ContentType="image/png"/>
  <Override PartName="/word/media/rId20.png" ContentType="image/png"/>
  <Override PartName="/word/media/rId23.png" ContentType="image/png"/>
  <Override PartName="/word/media/rId44.png" ContentType="image/png"/>
  <Override PartName="/word/media/rId47.png" ContentType="image/png"/>
  <Override PartName="/word/media/rId54.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8" w:name="österreichs-außenhandel-im-juli-2026"/>
    <w:p>
      <w:pPr>
        <w:pStyle w:val="Heading1"/>
      </w:pPr>
      <w:r>
        <w:t xml:space="preserve">Österreichs Außenhandel im Juli 2026</w:t>
      </w:r>
    </w:p>
    <w:bookmarkStart w:id="29" w:name="vorläufige-ergebnisse"/>
    <w:p>
      <w:pPr>
        <w:pStyle w:val="Heading2"/>
      </w:pPr>
      <w:r>
        <w:t xml:space="preserve">Vorläufige Ergebnisse</w:t>
      </w:r>
    </w:p>
    <w:p>
      <w:pPr>
        <w:pStyle w:val="FirstParagraph"/>
      </w:pPr>
      <w:r>
        <w:rPr>
          <w:b/>
          <w:bCs/>
        </w:rPr>
        <w:t xml:space="preserve">Juli 2026:</w:t>
      </w:r>
      <w:r>
        <w:t xml:space="preserve"> </w:t>
      </w:r>
      <w:r>
        <w:t xml:space="preserve">Die von Statistik Austria veröffentlichten Außenhandelszahlen zeigen, dass die nominellen Warenexporte (17,6 Mrd. Euro) im Vergleich zum Vorjahr um 6,8 % stiegen. Die nominellen Warenimporte (17,3 Mrd. Euro) stiegen um 1,8 %. Der Handelsbilanzüberschuss betrug rund 300,0 Mio. Euro.</w:t>
      </w:r>
    </w:p>
    <w:p>
      <w:pPr>
        <w:pStyle w:val="BodyText"/>
      </w:pPr>
      <w:r>
        <w:drawing>
          <wp:inline>
            <wp:extent cx="5753100" cy="1103421"/>
            <wp:effectExtent b="0" l="0" r="0" t="0"/>
            <wp:docPr descr="" title="" id="21" name="Picture"/>
            <a:graphic>
              <a:graphicData uri="http://schemas.openxmlformats.org/drawingml/2006/picture">
                <pic:pic>
                  <pic:nvPicPr>
                    <pic:cNvPr descr="J:/macroassist/2025_10_Positron_Quarto_Test/new_setup/data/output/figures/table1_1.png" id="22" name="Picture"/>
                    <pic:cNvPicPr>
                      <a:picLocks noChangeArrowheads="1" noChangeAspect="1"/>
                    </pic:cNvPicPr>
                  </pic:nvPicPr>
                  <pic:blipFill>
                    <a:blip r:embed="rId20"/>
                    <a:stretch>
                      <a:fillRect/>
                    </a:stretch>
                  </pic:blipFill>
                  <pic:spPr bwMode="auto">
                    <a:xfrm>
                      <a:off x="0" y="0"/>
                      <a:ext cx="5753100" cy="1103421"/>
                    </a:xfrm>
                    <a:prstGeom prst="rect">
                      <a:avLst/>
                    </a:prstGeom>
                    <a:noFill/>
                    <a:ln w="9525">
                      <a:noFill/>
                      <a:headEnd/>
                      <a:tailEnd/>
                    </a:ln>
                  </pic:spPr>
                </pic:pic>
              </a:graphicData>
            </a:graphic>
          </wp:inline>
        </w:drawing>
      </w:r>
    </w:p>
    <w:p>
      <w:pPr>
        <w:pStyle w:val="BodyText"/>
      </w:pPr>
      <w:r>
        <w:drawing>
          <wp:inline>
            <wp:extent cx="5753100" cy="982236"/>
            <wp:effectExtent b="0" l="0" r="0" t="0"/>
            <wp:docPr descr="" title="" id="24" name="Picture"/>
            <a:graphic>
              <a:graphicData uri="http://schemas.openxmlformats.org/drawingml/2006/picture">
                <pic:pic>
                  <pic:nvPicPr>
                    <pic:cNvPr descr="J:/macroassist/2025_10_Positron_Quarto_Test/new_setup/data/output/figures/table1_2.png" id="25" name="Picture"/>
                    <pic:cNvPicPr>
                      <a:picLocks noChangeArrowheads="1" noChangeAspect="1"/>
                    </pic:cNvPicPr>
                  </pic:nvPicPr>
                  <pic:blipFill>
                    <a:blip r:embed="rId23"/>
                    <a:stretch>
                      <a:fillRect/>
                    </a:stretch>
                  </pic:blipFill>
                  <pic:spPr bwMode="auto">
                    <a:xfrm>
                      <a:off x="0" y="0"/>
                      <a:ext cx="5753100" cy="982236"/>
                    </a:xfrm>
                    <a:prstGeom prst="rect">
                      <a:avLst/>
                    </a:prstGeom>
                    <a:noFill/>
                    <a:ln w="9525">
                      <a:noFill/>
                      <a:headEnd/>
                      <a:tailEnd/>
                    </a:ln>
                  </pic:spPr>
                </pic:pic>
              </a:graphicData>
            </a:graphic>
          </wp:inline>
        </w:drawing>
      </w:r>
    </w:p>
    <w:p>
      <w:pPr>
        <w:pStyle w:val="BodyText"/>
      </w:pPr>
      <w:r>
        <w:rPr>
          <w:b/>
          <w:bCs/>
        </w:rPr>
        <w:t xml:space="preserve">Periode Jänner bis Juli 2026:</w:t>
      </w:r>
      <w:r>
        <w:t xml:space="preserve"> </w:t>
      </w:r>
      <w:r>
        <w:t xml:space="preserve">Die nominellen Warenexporte stiegen von 111,4 Mrd. Euro um 5,7 % auf 117,7 Mrd. Euro, die nominellen Warenimporte stiegen von 115,1 Mrd. Euro um 5,7 % auf 121,6 Mrd. Euro. Das daraus resultierende Handelsbilanzdefizit von 3,9 Mrd. Euro steht einem Defizit von 3,7 Mrd. Euro im Vorjahreszeitraum gegenüber.</w:t>
      </w:r>
      <w:r>
        <w:t xml:space="preserve"> </w:t>
      </w:r>
      <w:r>
        <w:t xml:space="preserve">Sowohl die nominellen Warenexporte als auch die nominellen Warenimporte stiegen im Vergleich zum Vorjahr.</w:t>
      </w:r>
    </w:p>
    <w:p>
      <w:pPr>
        <w:pStyle w:val="BodyText"/>
      </w:pPr>
      <w:r>
        <w:drawing>
          <wp:inline>
            <wp:extent cx="5753100" cy="2307393"/>
            <wp:effectExtent b="0" l="0" r="0" t="0"/>
            <wp:docPr descr="" title="" id="27" name="Picture"/>
            <a:graphic>
              <a:graphicData uri="http://schemas.openxmlformats.org/drawingml/2006/picture">
                <pic:pic>
                  <pic:nvPicPr>
                    <pic:cNvPr descr="J:/macroassist/2025_10_Positron_Quarto_Test/new_setup/data/output/figures/chart_1.png" id="28" name="Picture"/>
                    <pic:cNvPicPr>
                      <a:picLocks noChangeArrowheads="1" noChangeAspect="1"/>
                    </pic:cNvPicPr>
                  </pic:nvPicPr>
                  <pic:blipFill>
                    <a:blip r:embed="rId26"/>
                    <a:stretch>
                      <a:fillRect/>
                    </a:stretch>
                  </pic:blipFill>
                  <pic:spPr bwMode="auto">
                    <a:xfrm>
                      <a:off x="0" y="0"/>
                      <a:ext cx="5753100" cy="2307393"/>
                    </a:xfrm>
                    <a:prstGeom prst="rect">
                      <a:avLst/>
                    </a:prstGeom>
                    <a:noFill/>
                    <a:ln w="9525">
                      <a:noFill/>
                      <a:headEnd/>
                      <a:tailEnd/>
                    </a:ln>
                  </pic:spPr>
                </pic:pic>
              </a:graphicData>
            </a:graphic>
          </wp:inline>
        </w:drawing>
      </w:r>
    </w:p>
    <w:p>
      <w:r>
        <w:br w:type="page"/>
      </w:r>
    </w:p>
    <w:bookmarkEnd w:id="29"/>
    <w:bookmarkStart w:id="34" w:name="saisonbereinigte-daten"/>
    <w:p>
      <w:pPr>
        <w:pStyle w:val="Heading2"/>
      </w:pPr>
      <w:r>
        <w:t xml:space="preserve">Saisonbereinigte Daten</w:t>
      </w:r>
    </w:p>
    <w:p>
      <w:pPr>
        <w:pStyle w:val="FirstParagraph"/>
      </w:pPr>
      <w:r>
        <w:t xml:space="preserve">Die nominellen saisonbereinigten Außenhandelsdaten</w:t>
      </w:r>
      <w:r>
        <w:rPr>
          <w:rStyle w:val="FootnoteReference"/>
        </w:rPr>
        <w:footnoteReference w:id="30"/>
      </w:r>
      <w:r>
        <w:t xml:space="preserve"> </w:t>
      </w:r>
      <w:r>
        <w:t xml:space="preserve">für Juli 2026 entwickelten sich wie folgt: Im Juli waren die Warenexporte gegenüber dem Vormonat leicht rückläufig, nach einem Zuwachs im Juni. Aktuell liegt das Niveau der Warenexporte über jenem vom Jahresbeginn. Bei den Warenimporten zeigte sich folgendes Bild: Diese waren gegenüber dem Vormonat deutlich rückläufig, nach einer Stagnation im Juni. Das Niveau der Warenimporte lag im Juli über jenem vom Jahresbeginn. Im Vergleich zum Vorjahresmonat lagen sowohl die Warenimporte als auch die Warenexporte über dem Vorjahresniveau.</w:t>
      </w:r>
    </w:p>
    <w:p>
      <w:pPr>
        <w:pStyle w:val="BodyText"/>
      </w:pPr>
      <w:r>
        <w:drawing>
          <wp:inline>
            <wp:extent cx="5753100" cy="3461089"/>
            <wp:effectExtent b="0" l="0" r="0" t="0"/>
            <wp:docPr descr="" title="" id="32" name="Picture"/>
            <a:graphic>
              <a:graphicData uri="http://schemas.openxmlformats.org/drawingml/2006/picture">
                <pic:pic>
                  <pic:nvPicPr>
                    <pic:cNvPr descr="J:/macroassist/2025_10_Positron_Quarto_Test/new_setup/data/output/figures/chart_2.png" id="33" name="Picture"/>
                    <pic:cNvPicPr>
                      <a:picLocks noChangeArrowheads="1" noChangeAspect="1"/>
                    </pic:cNvPicPr>
                  </pic:nvPicPr>
                  <pic:blipFill>
                    <a:blip r:embed="rId31"/>
                    <a:stretch>
                      <a:fillRect/>
                    </a:stretch>
                  </pic:blipFill>
                  <pic:spPr bwMode="auto">
                    <a:xfrm>
                      <a:off x="0" y="0"/>
                      <a:ext cx="5753100" cy="3461089"/>
                    </a:xfrm>
                    <a:prstGeom prst="rect">
                      <a:avLst/>
                    </a:prstGeom>
                    <a:noFill/>
                    <a:ln w="9525">
                      <a:noFill/>
                      <a:headEnd/>
                      <a:tailEnd/>
                    </a:ln>
                  </pic:spPr>
                </pic:pic>
              </a:graphicData>
            </a:graphic>
          </wp:inline>
        </w:drawing>
      </w:r>
    </w:p>
    <w:p>
      <w:r>
        <w:br w:type="page"/>
      </w:r>
    </w:p>
    <w:bookmarkEnd w:id="34"/>
    <w:bookmarkStart w:id="43" w:name="preisentwicklungen"/>
    <w:p>
      <w:pPr>
        <w:pStyle w:val="Heading2"/>
      </w:pPr>
      <w:r>
        <w:t xml:space="preserve">Preisentwicklungen</w:t>
      </w:r>
    </w:p>
    <w:p>
      <w:pPr>
        <w:pStyle w:val="FirstParagraph"/>
      </w:pPr>
      <w:r>
        <w:rPr>
          <w:b/>
          <w:bCs/>
        </w:rPr>
        <w:t xml:space="preserve">Inflation:</w:t>
      </w:r>
      <w:r>
        <w:t xml:space="preserve"> </w:t>
      </w:r>
      <w:r>
        <w:t xml:space="preserve">Die Warenexportpreise stiegen im Juli 2026 gegenüber dem Vorjahresmonat um 4,0 %, die Warenimportpreise um 6,4 %</w:t>
      </w:r>
      <w:r>
        <w:rPr>
          <w:rStyle w:val="FootnoteReference"/>
        </w:rPr>
        <w:footnoteReference w:id="35"/>
      </w:r>
      <w:r>
        <w:t xml:space="preserve">. Damit liegt die Entwicklung der Warenimport- und Warenexportpreise über jener des Harmonisierten Verbraucherpreisindexes (HVPI), der um 2,7 % anstieg. Die Terms of Trade</w:t>
      </w:r>
      <w:r>
        <w:rPr>
          <w:rStyle w:val="FootnoteReference"/>
        </w:rPr>
        <w:footnoteReference w:id="36"/>
      </w:r>
      <w:r>
        <w:t xml:space="preserve"> </w:t>
      </w:r>
      <w:r>
        <w:t xml:space="preserve">(ToT) sanken um 2,3 %.</w:t>
      </w:r>
    </w:p>
    <w:p>
      <w:pPr>
        <w:pStyle w:val="BodyText"/>
      </w:pPr>
      <w:r>
        <w:drawing>
          <wp:inline>
            <wp:extent cx="5753100" cy="1294766"/>
            <wp:effectExtent b="0" l="0" r="0" t="0"/>
            <wp:docPr descr="" title="" id="38" name="Picture"/>
            <a:graphic>
              <a:graphicData uri="http://schemas.openxmlformats.org/drawingml/2006/picture">
                <pic:pic>
                  <pic:nvPicPr>
                    <pic:cNvPr descr="J:/macroassist/2025_10_Positron_Quarto_Test/new_setup/data/output/figures/table_2.png" id="39" name="Picture"/>
                    <pic:cNvPicPr>
                      <a:picLocks noChangeArrowheads="1" noChangeAspect="1"/>
                    </pic:cNvPicPr>
                  </pic:nvPicPr>
                  <pic:blipFill>
                    <a:blip r:embed="rId37"/>
                    <a:stretch>
                      <a:fillRect/>
                    </a:stretch>
                  </pic:blipFill>
                  <pic:spPr bwMode="auto">
                    <a:xfrm>
                      <a:off x="0" y="0"/>
                      <a:ext cx="5753100" cy="1294766"/>
                    </a:xfrm>
                    <a:prstGeom prst="rect">
                      <a:avLst/>
                    </a:prstGeom>
                    <a:noFill/>
                    <a:ln w="9525">
                      <a:noFill/>
                      <a:headEnd/>
                      <a:tailEnd/>
                    </a:ln>
                  </pic:spPr>
                </pic:pic>
              </a:graphicData>
            </a:graphic>
          </wp:inline>
        </w:drawing>
      </w:r>
    </w:p>
    <w:p>
      <w:pPr>
        <w:pStyle w:val="BodyText"/>
      </w:pPr>
      <w:r>
        <w:t xml:space="preserve">Im Juli 2026 zeigte sich eine gegenläufige Entwicklung: Die Warenimportpreise stiegen geringfügig, während die Warenexportpreise geringfügig sanken. Daraus resultierte eine Verschlechterung der Terms of Trade. Der HVPI sank im Vergleich zum Juni geringfügig.</w:t>
      </w:r>
    </w:p>
    <w:p>
      <w:pPr>
        <w:pStyle w:val="BodyText"/>
      </w:pPr>
      <w:r>
        <w:drawing>
          <wp:inline>
            <wp:extent cx="5753100" cy="4037937"/>
            <wp:effectExtent b="0" l="0" r="0" t="0"/>
            <wp:docPr descr="" title="" id="41" name="Picture"/>
            <a:graphic>
              <a:graphicData uri="http://schemas.openxmlformats.org/drawingml/2006/picture">
                <pic:pic>
                  <pic:nvPicPr>
                    <pic:cNvPr descr="J:/macroassist/2025_10_Positron_Quarto_Test/new_setup/data/output/figures/chart_3.png" id="42" name="Picture"/>
                    <pic:cNvPicPr>
                      <a:picLocks noChangeArrowheads="1" noChangeAspect="1"/>
                    </pic:cNvPicPr>
                  </pic:nvPicPr>
                  <pic:blipFill>
                    <a:blip r:embed="rId40"/>
                    <a:stretch>
                      <a:fillRect/>
                    </a:stretch>
                  </pic:blipFill>
                  <pic:spPr bwMode="auto">
                    <a:xfrm>
                      <a:off x="0" y="0"/>
                      <a:ext cx="5753100" cy="4037937"/>
                    </a:xfrm>
                    <a:prstGeom prst="rect">
                      <a:avLst/>
                    </a:prstGeom>
                    <a:noFill/>
                    <a:ln w="9525">
                      <a:noFill/>
                      <a:headEnd/>
                      <a:tailEnd/>
                    </a:ln>
                  </pic:spPr>
                </pic:pic>
              </a:graphicData>
            </a:graphic>
          </wp:inline>
        </w:drawing>
      </w:r>
    </w:p>
    <w:p>
      <w:r>
        <w:br w:type="page"/>
      </w:r>
    </w:p>
    <w:bookmarkEnd w:id="43"/>
    <w:bookmarkStart w:id="53" w:name="reale-warenexport--und-warenimportdaten"/>
    <w:p>
      <w:pPr>
        <w:pStyle w:val="Heading2"/>
      </w:pPr>
      <w:r>
        <w:t xml:space="preserve">Reale Warenexport- und Warenimportdaten</w:t>
      </w:r>
    </w:p>
    <w:p>
      <w:pPr>
        <w:pStyle w:val="FirstParagraph"/>
      </w:pPr>
      <w:r>
        <w:t xml:space="preserve">Im Juli 2026 beliefen sich die Warenexporte Österreichs (real und saisonbereinigt) auf 13,2 Milliarden Euro. Das entspricht einem Rückgang von 1,8 % gegenüber dem Vormonat und einem Plus von 2,7 % im Vergleich zum Juli 2025. Die Warenimporte erreichten 12,5 Milliarden Euro, was einem Minus von 4,3 % gegenüber Juni 2026 und einem Rückgang von 4,3 % im Jahresvergleich entspricht. Daraus ergab sich ein positiver realer Saldo von 0,7 Milliarden Euro. Damit liegt dieser über dem Niveau des Vormonats (0,4 Mrd. Euro) und über dem Niveau des Vorjahresmonats (0,2 Mrd. Euro).</w:t>
      </w:r>
      <w:r>
        <w:t xml:space="preserve"> </w:t>
      </w:r>
      <w:r>
        <w:t xml:space="preserve">In der kumulierten Betrachtung von Jänner bis Juli 2026 lagen die Warenexporte bei 93,2 Milliarden Euro, was einem Anstieg von 3,4 % gegenüber dem Vorjahreszeitraum entspricht. Die Warenimporte stiegen im selben Zeitraum auf 91,7 Milliarden Euro, was einem Zuwachs von 2,0 % im Vergleich zu Jänner bis Juli 2025 entspricht. Der resultierende positive reale Saldo von 1,5 Milliarden Euro liegt damit über dem Vorjahreswert von 0,3 Milliarden Euro.</w:t>
      </w:r>
    </w:p>
    <w:p>
      <w:pPr>
        <w:pStyle w:val="BodyText"/>
      </w:pPr>
      <w:r>
        <w:drawing>
          <wp:inline>
            <wp:extent cx="5753100" cy="1103421"/>
            <wp:effectExtent b="0" l="0" r="0" t="0"/>
            <wp:docPr descr="" title="" id="45" name="Picture"/>
            <a:graphic>
              <a:graphicData uri="http://schemas.openxmlformats.org/drawingml/2006/picture">
                <pic:pic>
                  <pic:nvPicPr>
                    <pic:cNvPr descr="J:/macroassist/2025_10_Positron_Quarto_Test/new_setup/data/output/figures/table3_1.png" id="46" name="Picture"/>
                    <pic:cNvPicPr>
                      <a:picLocks noChangeArrowheads="1" noChangeAspect="1"/>
                    </pic:cNvPicPr>
                  </pic:nvPicPr>
                  <pic:blipFill>
                    <a:blip r:embed="rId44"/>
                    <a:stretch>
                      <a:fillRect/>
                    </a:stretch>
                  </pic:blipFill>
                  <pic:spPr bwMode="auto">
                    <a:xfrm>
                      <a:off x="0" y="0"/>
                      <a:ext cx="5753100" cy="1103421"/>
                    </a:xfrm>
                    <a:prstGeom prst="rect">
                      <a:avLst/>
                    </a:prstGeom>
                    <a:noFill/>
                    <a:ln w="9525">
                      <a:noFill/>
                      <a:headEnd/>
                      <a:tailEnd/>
                    </a:ln>
                  </pic:spPr>
                </pic:pic>
              </a:graphicData>
            </a:graphic>
          </wp:inline>
        </w:drawing>
      </w:r>
    </w:p>
    <w:p>
      <w:pPr>
        <w:pStyle w:val="BodyText"/>
      </w:pPr>
      <w:r>
        <w:drawing>
          <wp:inline>
            <wp:extent cx="5753100" cy="982236"/>
            <wp:effectExtent b="0" l="0" r="0" t="0"/>
            <wp:docPr descr="" title="" id="48" name="Picture"/>
            <a:graphic>
              <a:graphicData uri="http://schemas.openxmlformats.org/drawingml/2006/picture">
                <pic:pic>
                  <pic:nvPicPr>
                    <pic:cNvPr descr="J:/macroassist/2025_10_Positron_Quarto_Test/new_setup/data/output/figures/table3_2.png" id="49" name="Picture"/>
                    <pic:cNvPicPr>
                      <a:picLocks noChangeArrowheads="1" noChangeAspect="1"/>
                    </pic:cNvPicPr>
                  </pic:nvPicPr>
                  <pic:blipFill>
                    <a:blip r:embed="rId47"/>
                    <a:stretch>
                      <a:fillRect/>
                    </a:stretch>
                  </pic:blipFill>
                  <pic:spPr bwMode="auto">
                    <a:xfrm>
                      <a:off x="0" y="0"/>
                      <a:ext cx="5753100" cy="982236"/>
                    </a:xfrm>
                    <a:prstGeom prst="rect">
                      <a:avLst/>
                    </a:prstGeom>
                    <a:noFill/>
                    <a:ln w="9525">
                      <a:noFill/>
                      <a:headEnd/>
                      <a:tailEnd/>
                    </a:ln>
                  </pic:spPr>
                </pic:pic>
              </a:graphicData>
            </a:graphic>
          </wp:inline>
        </w:drawing>
      </w:r>
    </w:p>
    <w:p>
      <w:pPr>
        <w:pStyle w:val="BodyText"/>
      </w:pPr>
      <w:r>
        <w:drawing>
          <wp:inline>
            <wp:extent cx="5753100" cy="2307393"/>
            <wp:effectExtent b="0" l="0" r="0" t="0"/>
            <wp:docPr descr="" title="" id="51" name="Picture"/>
            <a:graphic>
              <a:graphicData uri="http://schemas.openxmlformats.org/drawingml/2006/picture">
                <pic:pic>
                  <pic:nvPicPr>
                    <pic:cNvPr descr="J:/macroassist/2025_10_Positron_Quarto_Test/new_setup/data/output/figures/chart_4.png" id="52" name="Picture"/>
                    <pic:cNvPicPr>
                      <a:picLocks noChangeArrowheads="1" noChangeAspect="1"/>
                    </pic:cNvPicPr>
                  </pic:nvPicPr>
                  <pic:blipFill>
                    <a:blip r:embed="rId50"/>
                    <a:stretch>
                      <a:fillRect/>
                    </a:stretch>
                  </pic:blipFill>
                  <pic:spPr bwMode="auto">
                    <a:xfrm>
                      <a:off x="0" y="0"/>
                      <a:ext cx="5753100" cy="2307393"/>
                    </a:xfrm>
                    <a:prstGeom prst="rect">
                      <a:avLst/>
                    </a:prstGeom>
                    <a:noFill/>
                    <a:ln w="9525">
                      <a:noFill/>
                      <a:headEnd/>
                      <a:tailEnd/>
                    </a:ln>
                  </pic:spPr>
                </pic:pic>
              </a:graphicData>
            </a:graphic>
          </wp:inline>
        </w:drawing>
      </w:r>
    </w:p>
    <w:p>
      <w:r>
        <w:br w:type="page"/>
      </w:r>
    </w:p>
    <w:bookmarkEnd w:id="53"/>
    <w:bookmarkStart w:id="63" w:name="Xf2365013ab07bbf8fab8b13a6c704a8a7c525b7"/>
    <w:p>
      <w:pPr>
        <w:pStyle w:val="Heading2"/>
      </w:pPr>
      <w:r>
        <w:t xml:space="preserve">Österreichische TOP-10-Warenexportdestinationen (nach nominellem Warenexport)</w:t>
      </w:r>
    </w:p>
    <w:p>
      <w:pPr>
        <w:pStyle w:val="FirstParagraph"/>
      </w:pPr>
      <w:r>
        <w:drawing>
          <wp:inline>
            <wp:extent cx="5753100" cy="2442835"/>
            <wp:effectExtent b="0" l="0" r="0" t="0"/>
            <wp:docPr descr="" title="" id="55" name="Picture"/>
            <a:graphic>
              <a:graphicData uri="http://schemas.openxmlformats.org/drawingml/2006/picture">
                <pic:pic>
                  <pic:nvPicPr>
                    <pic:cNvPr descr="J:/macroassist/2025_10_Positron_Quarto_Test/new_setup/data/output/figures/table5.png" id="56" name="Picture"/>
                    <pic:cNvPicPr>
                      <a:picLocks noChangeArrowheads="1" noChangeAspect="1"/>
                    </pic:cNvPicPr>
                  </pic:nvPicPr>
                  <pic:blipFill>
                    <a:blip r:embed="rId54"/>
                    <a:stretch>
                      <a:fillRect/>
                    </a:stretch>
                  </pic:blipFill>
                  <pic:spPr bwMode="auto">
                    <a:xfrm>
                      <a:off x="0" y="0"/>
                      <a:ext cx="5753100" cy="2442835"/>
                    </a:xfrm>
                    <a:prstGeom prst="rect">
                      <a:avLst/>
                    </a:prstGeom>
                    <a:noFill/>
                    <a:ln w="9525">
                      <a:noFill/>
                      <a:headEnd/>
                      <a:tailEnd/>
                    </a:ln>
                  </pic:spPr>
                </pic:pic>
              </a:graphicData>
            </a:graphic>
          </wp:inline>
        </w:drawing>
      </w:r>
    </w:p>
    <w:p>
      <w:pPr>
        <w:pStyle w:val="BodyText"/>
      </w:pPr>
      <w:r>
        <w:drawing>
          <wp:inline>
            <wp:extent cx="5753100" cy="3845655"/>
            <wp:effectExtent b="0" l="0" r="0" t="0"/>
            <wp:docPr descr="" title="" id="58" name="Picture"/>
            <a:graphic>
              <a:graphicData uri="http://schemas.openxmlformats.org/drawingml/2006/picture">
                <pic:pic>
                  <pic:nvPicPr>
                    <pic:cNvPr descr="J:/macroassist/2025_10_Positron_Quarto_Test/new_setup/data/output/figures/chart6_1.png" id="59" name="Picture"/>
                    <pic:cNvPicPr>
                      <a:picLocks noChangeArrowheads="1" noChangeAspect="1"/>
                    </pic:cNvPicPr>
                  </pic:nvPicPr>
                  <pic:blipFill>
                    <a:blip r:embed="rId57"/>
                    <a:stretch>
                      <a:fillRect/>
                    </a:stretch>
                  </pic:blipFill>
                  <pic:spPr bwMode="auto">
                    <a:xfrm>
                      <a:off x="0" y="0"/>
                      <a:ext cx="5753100" cy="3845655"/>
                    </a:xfrm>
                    <a:prstGeom prst="rect">
                      <a:avLst/>
                    </a:prstGeom>
                    <a:noFill/>
                    <a:ln w="9525">
                      <a:noFill/>
                      <a:headEnd/>
                      <a:tailEnd/>
                    </a:ln>
                  </pic:spPr>
                </pic:pic>
              </a:graphicData>
            </a:graphic>
          </wp:inline>
        </w:drawing>
      </w:r>
    </w:p>
    <w:p>
      <w:pPr>
        <w:pStyle w:val="BodyText"/>
      </w:pPr>
      <w:r>
        <w:drawing>
          <wp:inline>
            <wp:extent cx="5753100" cy="3845655"/>
            <wp:effectExtent b="0" l="0" r="0" t="0"/>
            <wp:docPr descr="" title="" id="61" name="Picture"/>
            <a:graphic>
              <a:graphicData uri="http://schemas.openxmlformats.org/drawingml/2006/picture">
                <pic:pic>
                  <pic:nvPicPr>
                    <pic:cNvPr descr="J:/macroassist/2025_10_Positron_Quarto_Test/new_setup/data/output/figures/chart6_2.png" id="62" name="Picture"/>
                    <pic:cNvPicPr>
                      <a:picLocks noChangeArrowheads="1" noChangeAspect="1"/>
                    </pic:cNvPicPr>
                  </pic:nvPicPr>
                  <pic:blipFill>
                    <a:blip r:embed="rId60"/>
                    <a:stretch>
                      <a:fillRect/>
                    </a:stretch>
                  </pic:blipFill>
                  <pic:spPr bwMode="auto">
                    <a:xfrm>
                      <a:off x="0" y="0"/>
                      <a:ext cx="5753100" cy="3845655"/>
                    </a:xfrm>
                    <a:prstGeom prst="rect">
                      <a:avLst/>
                    </a:prstGeom>
                    <a:noFill/>
                    <a:ln w="9525">
                      <a:noFill/>
                      <a:headEnd/>
                      <a:tailEnd/>
                    </a:ln>
                  </pic:spPr>
                </pic:pic>
              </a:graphicData>
            </a:graphic>
          </wp:inline>
        </w:drawing>
      </w:r>
    </w:p>
    <w:bookmarkEnd w:id="63"/>
    <w:bookmarkStart w:id="64" w:name="X33e51ad1a46622df94f4a14a22198005d9841dc"/>
    <w:p>
      <w:pPr>
        <w:pStyle w:val="Heading2"/>
      </w:pPr>
      <w:r>
        <w:t xml:space="preserve">Top Auf- und Absteiger nach nominellem Warenexport</w:t>
      </w:r>
    </w:p>
    <w:p>
      <w:pPr>
        <w:pStyle w:val="FirstParagraph"/>
      </w:pPr>
      <w:r>
        <w:t xml:space="preserve">Nachfolgend werden die im aktuellen Ranking am höchsten platzierten Exportdestinationen aufgeführt, die im Vergleich zum Vorjahr eine Verbesserung beziehungsweise Verschlechterung ihrer Position verzeichnet haben.</w:t>
      </w:r>
    </w:p>
    <w:p>
      <w:pPr>
        <w:pStyle w:val="BodyText"/>
      </w:pPr>
      <w:r>
        <w:rPr>
          <w:b/>
          <w:bCs/>
        </w:rPr>
        <w:t xml:space="preserve">Top-5-Aufsteiger:</w:t>
      </w:r>
      <w:r>
        <w:t xml:space="preserve"> </w:t>
      </w:r>
      <w:r>
        <w:t xml:space="preserve">Italien (1 Pl. auf Rang 2), Polen (2 Pl. auf Rang 5), Frankreich (1 Pl. auf Rang 7), Slowakei (1 Pl. auf Rang 11), Niederlande (1 Pl. auf Rang 13)</w:t>
      </w:r>
    </w:p>
    <w:p>
      <w:pPr>
        <w:pStyle w:val="BodyText"/>
      </w:pPr>
      <w:r>
        <w:rPr>
          <w:b/>
          <w:bCs/>
        </w:rPr>
        <w:t xml:space="preserve">Top-5-Absteiger:</w:t>
      </w:r>
      <w:r>
        <w:t xml:space="preserve"> </w:t>
      </w:r>
      <w:r>
        <w:t xml:space="preserve">Vereinigte Staaten (-1 Pl. auf Rang 3), Tschechien (-1 Pl. auf Rang 6), Ungarn (-2 Pl. auf Rang 8), Slowenien (-1 Pl. auf Rang 12), Rumänien (-1 Pl. auf Rang 14)</w:t>
      </w:r>
    </w:p>
    <w:p>
      <w:r>
        <w:br w:type="page"/>
      </w:r>
    </w:p>
    <w:bookmarkEnd w:id="64"/>
    <w:bookmarkStart w:id="96" w:name="X9f75fe08c9b120136ba52dd0311f5af4178551f"/>
    <w:p>
      <w:pPr>
        <w:pStyle w:val="Heading2"/>
      </w:pPr>
      <w:r>
        <w:t xml:space="preserve">Überblick österreichischer nomineller unbereinigter Warenverkehr im Juli 2026</w:t>
      </w:r>
    </w:p>
    <w:bookmarkStart w:id="65" w:name="zusammenfassung-regionaler-entwicklungen"/>
    <w:p>
      <w:pPr>
        <w:pStyle w:val="Heading3"/>
      </w:pPr>
      <w:r>
        <w:t xml:space="preserve">Zusammenfassung regionaler Entwicklungen</w:t>
      </w:r>
    </w:p>
    <w:p>
      <w:pPr>
        <w:pStyle w:val="Compact"/>
        <w:numPr>
          <w:ilvl w:val="0"/>
          <w:numId w:val="1001"/>
        </w:numPr>
      </w:pPr>
      <w:r>
        <w:t xml:space="preserve">In den Euroraum gingen 53,7 % aller österreichischen Warenexporte, dies waren 63,2 Mrd. Euro (6,8 %). Die Warenimporte betrugen 64,6 Mrd. Euro (4,9 %). Die Warenexporte nach Deutschland, Rang 1 für österreichische Warenexporte, stiegen auf 35,0 Mrd. Euro, während die Warenimporte um 4,7 % auf 38,9 Mrd. Euro stiegen.</w:t>
      </w:r>
    </w:p>
    <w:p>
      <w:pPr>
        <w:pStyle w:val="Compact"/>
        <w:numPr>
          <w:ilvl w:val="0"/>
          <w:numId w:val="1001"/>
        </w:numPr>
      </w:pPr>
      <w:r>
        <w:t xml:space="preserve">In die gesamte Europäische Union gingen 68,4 % aller österreichischen Warenexporte, dies waren 80,5 Mrd. Euro (6,5 %). Die Warenimporte betrugen 79,9 Mrd. Euro (5,2 %). Somit wurde ein Handelsbilanzüberschuss von rund 600 Mio. Euro verzeichnet. Die Warenexporte nach Gesamt-Europa betrugen 94,6 Mrd. Euro (6,9 %).</w:t>
      </w:r>
    </w:p>
    <w:p>
      <w:pPr>
        <w:pStyle w:val="Compact"/>
        <w:numPr>
          <w:ilvl w:val="0"/>
          <w:numId w:val="1001"/>
        </w:numPr>
      </w:pPr>
      <w:r>
        <w:t xml:space="preserve">Die verbliebenen 31,6 % der heimischen Exporte wurden in Drittstaaten ausgeführt. Es wurden 37,2 Mrd. Euro (4,0 %) exportiert und 41,7 Mrd. Euro (6,6 %) importiert. Daraus ergab sich ein Handelsbilanzdefizit von 4,5 Mrd. Euro.</w:t>
      </w:r>
    </w:p>
    <w:p>
      <w:pPr>
        <w:pStyle w:val="Compact"/>
        <w:numPr>
          <w:ilvl w:val="0"/>
          <w:numId w:val="1001"/>
        </w:numPr>
      </w:pPr>
      <w:r>
        <w:t xml:space="preserve">Nach Nordamerika wurden 9,7 Mrd. Euro (‑1,8 %) ausgeführt. In die USA (drittwichtigstes Einzelland) konnten 7,6 Mrd. Euro exportiert werden (‑2,2 %).</w:t>
      </w:r>
    </w:p>
    <w:p>
      <w:pPr>
        <w:pStyle w:val="Compact"/>
        <w:numPr>
          <w:ilvl w:val="0"/>
          <w:numId w:val="1001"/>
        </w:numPr>
      </w:pPr>
      <w:r>
        <w:t xml:space="preserve">Nach Asien wurden 9,8 Mrd. Euro (2,9 %) ausgeführt. Die Warenimporte stiegen auf 22,5 Mrd. Euro (15,4 %). Die wichtigsten Exportmärkte innerhalb dieser Region waren China (2,9 Mrd. Euro, 0,2 %), Japan (rund 1,1 Mrd. Euro, 0,4 %), Indien (rund 800 Mio. Euro, ‑12,0 %) und Korea, Republik (rund 700 Mio. Euro, 6,0 %).</w:t>
      </w:r>
    </w:p>
    <w:p>
      <w:pPr>
        <w:pStyle w:val="Compact"/>
        <w:numPr>
          <w:ilvl w:val="0"/>
          <w:numId w:val="1001"/>
        </w:numPr>
      </w:pPr>
      <w:r>
        <w:t xml:space="preserve">Die Warenexporte in den Nahen Osten, eine Teilregion Asiens, entwickelten sich mit ‑9,3 % negativ. Gleichzeitig sanken die Warenimporte um 14,7 %.</w:t>
      </w:r>
    </w:p>
    <w:p>
      <w:r>
        <w:br w:type="page"/>
      </w:r>
    </w:p>
    <w:bookmarkEnd w:id="65"/>
    <w:bookmarkStart w:id="71" w:name="X30357f9ad8796e752c2da30d2e072b7971eeed2"/>
    <w:p>
      <w:pPr>
        <w:pStyle w:val="Heading3"/>
      </w:pPr>
      <w:r>
        <w:t xml:space="preserve">Überblick österreichischer Warenverkehr nach Regionen</w:t>
      </w:r>
      <w:r>
        <w:rPr>
          <w:rStyle w:val="FootnoteReference"/>
        </w:rPr>
        <w:footnoteReference w:id="66"/>
      </w:r>
    </w:p>
    <w:p>
      <w:pPr>
        <w:pStyle w:val="BodyText"/>
      </w:pPr>
      <w:r>
        <w:drawing>
          <wp:inline>
            <wp:extent cx="5753100" cy="5051502"/>
            <wp:effectExtent b="0" l="0" r="0" t="0"/>
            <wp:docPr descr="" title="" id="69" name="Picture"/>
            <a:graphic>
              <a:graphicData uri="http://schemas.openxmlformats.org/drawingml/2006/picture">
                <pic:pic>
                  <pic:nvPicPr>
                    <pic:cNvPr descr="J:/macroassist/2025_10_Positron_Quarto_Test/new_setup/data/output/figures/final_tab_1_reg.png" id="70" name="Picture"/>
                    <pic:cNvPicPr>
                      <a:picLocks noChangeArrowheads="1" noChangeAspect="1"/>
                    </pic:cNvPicPr>
                  </pic:nvPicPr>
                  <pic:blipFill>
                    <a:blip r:embed="rId68"/>
                    <a:stretch>
                      <a:fillRect/>
                    </a:stretch>
                  </pic:blipFill>
                  <pic:spPr bwMode="auto">
                    <a:xfrm>
                      <a:off x="0" y="0"/>
                      <a:ext cx="5753100" cy="5051502"/>
                    </a:xfrm>
                    <a:prstGeom prst="rect">
                      <a:avLst/>
                    </a:prstGeom>
                    <a:noFill/>
                    <a:ln w="9525">
                      <a:noFill/>
                      <a:headEnd/>
                      <a:tailEnd/>
                    </a:ln>
                  </pic:spPr>
                </pic:pic>
              </a:graphicData>
            </a:graphic>
          </wp:inline>
        </w:drawing>
      </w:r>
    </w:p>
    <w:p>
      <w:r>
        <w:br w:type="page"/>
      </w:r>
    </w:p>
    <w:bookmarkEnd w:id="71"/>
    <w:bookmarkStart w:id="75" w:name="Xb6b229a798b879ed9fc991cf67933b457142beb"/>
    <w:p>
      <w:pPr>
        <w:pStyle w:val="Heading3"/>
      </w:pPr>
      <w:r>
        <w:t xml:space="preserve">Überblick österreichischer Warenverkehr nach Ländergruppen</w:t>
      </w:r>
    </w:p>
    <w:p>
      <w:pPr>
        <w:pStyle w:val="FirstParagraph"/>
      </w:pPr>
      <w:r>
        <w:drawing>
          <wp:inline>
            <wp:extent cx="5753100" cy="6244218"/>
            <wp:effectExtent b="0" l="0" r="0" t="0"/>
            <wp:docPr descr="" title="" id="73" name="Picture"/>
            <a:graphic>
              <a:graphicData uri="http://schemas.openxmlformats.org/drawingml/2006/picture">
                <pic:pic>
                  <pic:nvPicPr>
                    <pic:cNvPr descr="J:/macroassist/2025_10_Positron_Quarto_Test/new_setup/data/output/figures/final_tab_1_land.png" id="74" name="Picture"/>
                    <pic:cNvPicPr>
                      <a:picLocks noChangeArrowheads="1" noChangeAspect="1"/>
                    </pic:cNvPicPr>
                  </pic:nvPicPr>
                  <pic:blipFill>
                    <a:blip r:embed="rId72"/>
                    <a:stretch>
                      <a:fillRect/>
                    </a:stretch>
                  </pic:blipFill>
                  <pic:spPr bwMode="auto">
                    <a:xfrm>
                      <a:off x="0" y="0"/>
                      <a:ext cx="5753100" cy="6244218"/>
                    </a:xfrm>
                    <a:prstGeom prst="rect">
                      <a:avLst/>
                    </a:prstGeom>
                    <a:noFill/>
                    <a:ln w="9525">
                      <a:noFill/>
                      <a:headEnd/>
                      <a:tailEnd/>
                    </a:ln>
                  </pic:spPr>
                </pic:pic>
              </a:graphicData>
            </a:graphic>
          </wp:inline>
        </w:drawing>
      </w:r>
    </w:p>
    <w:p>
      <w:r>
        <w:br w:type="page"/>
      </w:r>
    </w:p>
    <w:bookmarkEnd w:id="75"/>
    <w:bookmarkStart w:id="79" w:name="X03a58cebda3e7e3f7e8d351aa9fff42844cf60e"/>
    <w:p>
      <w:pPr>
        <w:pStyle w:val="Heading3"/>
      </w:pPr>
      <w:r>
        <w:t xml:space="preserve">Überblick österreichischer Warenverkehr nach Top-10-Exportdestinationen</w:t>
      </w:r>
    </w:p>
    <w:p>
      <w:pPr>
        <w:pStyle w:val="FirstParagraph"/>
      </w:pPr>
      <w:r>
        <w:drawing>
          <wp:inline>
            <wp:extent cx="5753100" cy="4152181"/>
            <wp:effectExtent b="0" l="0" r="0" t="0"/>
            <wp:docPr descr="" title="" id="77" name="Picture"/>
            <a:graphic>
              <a:graphicData uri="http://schemas.openxmlformats.org/drawingml/2006/picture">
                <pic:pic>
                  <pic:nvPicPr>
                    <pic:cNvPr descr="J:/macroassist/2025_10_Positron_Quarto_Test/new_setup/data/output/figures/final_tab_1_top.png" id="78" name="Picture"/>
                    <pic:cNvPicPr>
                      <a:picLocks noChangeArrowheads="1" noChangeAspect="1"/>
                    </pic:cNvPicPr>
                  </pic:nvPicPr>
                  <pic:blipFill>
                    <a:blip r:embed="rId76"/>
                    <a:stretch>
                      <a:fillRect/>
                    </a:stretch>
                  </pic:blipFill>
                  <pic:spPr bwMode="auto">
                    <a:xfrm>
                      <a:off x="0" y="0"/>
                      <a:ext cx="5753100" cy="4152181"/>
                    </a:xfrm>
                    <a:prstGeom prst="rect">
                      <a:avLst/>
                    </a:prstGeom>
                    <a:noFill/>
                    <a:ln w="9525">
                      <a:noFill/>
                      <a:headEnd/>
                      <a:tailEnd/>
                    </a:ln>
                  </pic:spPr>
                </pic:pic>
              </a:graphicData>
            </a:graphic>
          </wp:inline>
        </w:drawing>
      </w:r>
    </w:p>
    <w:p>
      <w:r>
        <w:br w:type="page"/>
      </w:r>
    </w:p>
    <w:bookmarkEnd w:id="79"/>
    <w:bookmarkStart w:id="83" w:name="X4123b871a99ddfde6efa19ce4dbabd1cbec97c8"/>
    <w:p>
      <w:pPr>
        <w:pStyle w:val="Heading3"/>
      </w:pPr>
      <w:r>
        <w:t xml:space="preserve">Überblick österreichischer Warenverkehr nach Top-40-Exportdestinationen</w:t>
      </w:r>
    </w:p>
    <w:p>
      <w:pPr>
        <w:pStyle w:val="FirstParagraph"/>
      </w:pPr>
      <w:r>
        <w:drawing>
          <wp:inline>
            <wp:extent cx="5753100" cy="8227825"/>
            <wp:effectExtent b="0" l="0" r="0" t="0"/>
            <wp:docPr descr="" title="" id="81" name="Picture"/>
            <a:graphic>
              <a:graphicData uri="http://schemas.openxmlformats.org/drawingml/2006/picture">
                <pic:pic>
                  <pic:nvPicPr>
                    <pic:cNvPr descr="J:/macroassist/2025_10_Positron_Quarto_Test/new_setup/data/output/figures/final_tab_2.png" id="82" name="Picture"/>
                    <pic:cNvPicPr>
                      <a:picLocks noChangeArrowheads="1" noChangeAspect="1"/>
                    </pic:cNvPicPr>
                  </pic:nvPicPr>
                  <pic:blipFill>
                    <a:blip r:embed="rId80"/>
                    <a:stretch>
                      <a:fillRect/>
                    </a:stretch>
                  </pic:blipFill>
                  <pic:spPr bwMode="auto">
                    <a:xfrm>
                      <a:off x="0" y="0"/>
                      <a:ext cx="5753100" cy="8227825"/>
                    </a:xfrm>
                    <a:prstGeom prst="rect">
                      <a:avLst/>
                    </a:prstGeom>
                    <a:noFill/>
                    <a:ln w="9525">
                      <a:noFill/>
                      <a:headEnd/>
                      <a:tailEnd/>
                    </a:ln>
                  </pic:spPr>
                </pic:pic>
              </a:graphicData>
            </a:graphic>
          </wp:inline>
        </w:drawing>
      </w:r>
    </w:p>
    <w:p>
      <w:r>
        <w:br w:type="page"/>
      </w:r>
    </w:p>
    <w:bookmarkEnd w:id="83"/>
    <w:bookmarkStart w:id="87" w:name="X33cfb508c9025cbd0a4c7e65d8efde4677f438a"/>
    <w:p>
      <w:pPr>
        <w:pStyle w:val="Heading3"/>
      </w:pPr>
      <w:r>
        <w:t xml:space="preserve">Überblick österreichischer Warenverkehr nach Regionen</w:t>
      </w:r>
    </w:p>
    <w:p>
      <w:pPr>
        <w:pStyle w:val="FirstParagraph"/>
      </w:pPr>
      <w:r>
        <w:drawing>
          <wp:inline>
            <wp:extent cx="5753100" cy="4617787"/>
            <wp:effectExtent b="0" l="0" r="0" t="0"/>
            <wp:docPr descr="" title="" id="85" name="Picture"/>
            <a:graphic>
              <a:graphicData uri="http://schemas.openxmlformats.org/drawingml/2006/picture">
                <pic:pic>
                  <pic:nvPicPr>
                    <pic:cNvPr descr="J:/macroassist/2025_10_Positron_Quarto_Test/new_setup/data/output/figures/final_table_3_reg.png" id="86" name="Picture"/>
                    <pic:cNvPicPr>
                      <a:picLocks noChangeArrowheads="1" noChangeAspect="1"/>
                    </pic:cNvPicPr>
                  </pic:nvPicPr>
                  <pic:blipFill>
                    <a:blip r:embed="rId84"/>
                    <a:stretch>
                      <a:fillRect/>
                    </a:stretch>
                  </pic:blipFill>
                  <pic:spPr bwMode="auto">
                    <a:xfrm>
                      <a:off x="0" y="0"/>
                      <a:ext cx="5753100" cy="4617787"/>
                    </a:xfrm>
                    <a:prstGeom prst="rect">
                      <a:avLst/>
                    </a:prstGeom>
                    <a:noFill/>
                    <a:ln w="9525">
                      <a:noFill/>
                      <a:headEnd/>
                      <a:tailEnd/>
                    </a:ln>
                  </pic:spPr>
                </pic:pic>
              </a:graphicData>
            </a:graphic>
          </wp:inline>
        </w:drawing>
      </w:r>
    </w:p>
    <w:p>
      <w:r>
        <w:br w:type="page"/>
      </w:r>
    </w:p>
    <w:bookmarkEnd w:id="87"/>
    <w:bookmarkStart w:id="91" w:name="Xed53f4de9cfd18eb6beb92293a5eac830eb3e13"/>
    <w:p>
      <w:pPr>
        <w:pStyle w:val="Heading3"/>
      </w:pPr>
      <w:r>
        <w:t xml:space="preserve">Überblick österreichischer Warenverkehr nach Ländergruppen</w:t>
      </w:r>
    </w:p>
    <w:p>
      <w:pPr>
        <w:pStyle w:val="FirstParagraph"/>
      </w:pPr>
      <w:r>
        <w:drawing>
          <wp:inline>
            <wp:extent cx="5753100" cy="5574511"/>
            <wp:effectExtent b="0" l="0" r="0" t="0"/>
            <wp:docPr descr="" title="" id="89" name="Picture"/>
            <a:graphic>
              <a:graphicData uri="http://schemas.openxmlformats.org/drawingml/2006/picture">
                <pic:pic>
                  <pic:nvPicPr>
                    <pic:cNvPr descr="J:/macroassist/2025_10_Positron_Quarto_Test/new_setup/data/output/figures/final_table_3_land.png" id="90" name="Picture"/>
                    <pic:cNvPicPr>
                      <a:picLocks noChangeArrowheads="1" noChangeAspect="1"/>
                    </pic:cNvPicPr>
                  </pic:nvPicPr>
                  <pic:blipFill>
                    <a:blip r:embed="rId88"/>
                    <a:stretch>
                      <a:fillRect/>
                    </a:stretch>
                  </pic:blipFill>
                  <pic:spPr bwMode="auto">
                    <a:xfrm>
                      <a:off x="0" y="0"/>
                      <a:ext cx="5753100" cy="5574511"/>
                    </a:xfrm>
                    <a:prstGeom prst="rect">
                      <a:avLst/>
                    </a:prstGeom>
                    <a:noFill/>
                    <a:ln w="9525">
                      <a:noFill/>
                      <a:headEnd/>
                      <a:tailEnd/>
                    </a:ln>
                  </pic:spPr>
                </pic:pic>
              </a:graphicData>
            </a:graphic>
          </wp:inline>
        </w:drawing>
      </w:r>
    </w:p>
    <w:p>
      <w:r>
        <w:br w:type="page"/>
      </w:r>
    </w:p>
    <w:bookmarkEnd w:id="91"/>
    <w:bookmarkStart w:id="95" w:name="X3f47710b60f349201112588dfc6f968a575d870"/>
    <w:p>
      <w:pPr>
        <w:pStyle w:val="Heading3"/>
      </w:pPr>
      <w:r>
        <w:t xml:space="preserve">Überblick österreichischer Warenverkehr nach Top-10-Exportdestinationen</w:t>
      </w:r>
    </w:p>
    <w:p>
      <w:pPr>
        <w:pStyle w:val="FirstParagraph"/>
      </w:pPr>
      <w:r>
        <w:drawing>
          <wp:inline>
            <wp:extent cx="5753100" cy="3852408"/>
            <wp:effectExtent b="0" l="0" r="0" t="0"/>
            <wp:docPr descr="" title="" id="93" name="Picture"/>
            <a:graphic>
              <a:graphicData uri="http://schemas.openxmlformats.org/drawingml/2006/picture">
                <pic:pic>
                  <pic:nvPicPr>
                    <pic:cNvPr descr="J:/macroassist/2025_10_Positron_Quarto_Test/new_setup/data/output/figures/final_table_3_top.png" id="94" name="Picture"/>
                    <pic:cNvPicPr>
                      <a:picLocks noChangeArrowheads="1" noChangeAspect="1"/>
                    </pic:cNvPicPr>
                  </pic:nvPicPr>
                  <pic:blipFill>
                    <a:blip r:embed="rId92"/>
                    <a:stretch>
                      <a:fillRect/>
                    </a:stretch>
                  </pic:blipFill>
                  <pic:spPr bwMode="auto">
                    <a:xfrm>
                      <a:off x="0" y="0"/>
                      <a:ext cx="5753100" cy="3852408"/>
                    </a:xfrm>
                    <a:prstGeom prst="rect">
                      <a:avLst/>
                    </a:prstGeom>
                    <a:noFill/>
                    <a:ln w="9525">
                      <a:noFill/>
                      <a:headEnd/>
                      <a:tailEnd/>
                    </a:ln>
                  </pic:spPr>
                </pic:pic>
              </a:graphicData>
            </a:graphic>
          </wp:inline>
        </w:drawing>
      </w:r>
    </w:p>
    <w:bookmarkEnd w:id="95"/>
    <w:bookmarkEnd w:id="96"/>
    <w:bookmarkStart w:id="97" w:name="disclaimer"/>
    <w:p>
      <w:pPr>
        <w:pStyle w:val="Heading2"/>
      </w:pPr>
      <w:r>
        <w:t xml:space="preserve">Disclaimer</w:t>
      </w:r>
    </w:p>
    <w:p>
      <w:pPr>
        <w:pStyle w:val="FirstParagraph"/>
      </w:pPr>
      <w:r>
        <w:t xml:space="preserve">Die zeitnahe Aufbereitung der Außenhandelsdaten von Statistik Austria durch das Institut für Höhere Studien wurde durch Fördermittel des Bundesministeriums für Wirtschaft, Energie und Tourismus unterstützt.</w:t>
      </w:r>
    </w:p>
    <w:p>
      <w:pPr>
        <w:pStyle w:val="BodyText"/>
      </w:pPr>
      <w:r>
        <w:t xml:space="preserve">Hinweis: Dieser Bericht wurde automatisch erstellt. Bitte prüfen Sie alle Angaben sorgfältig. Für Fehlermeldungen oder Feedback kontaktieren Sie uns bitte unter monitor@ihs.ac.at! Es gelten zudem der Disclaimer der Trade Indicator Website sowie die AGB des IHS.</w:t>
      </w:r>
    </w:p>
    <w:bookmarkEnd w:id="97"/>
    <w:bookmarkEnd w:id="98"/>
    <w:sectPr w:rsidR="00127510" w:rsidRPr="00602991" w:rsidSect="00E84523">
      <w:footerReference r:id="rId9" w:type="even"/>
      <w:footerReference r:id="rId10" w:type="default"/>
      <w:pgSz w:h="16838" w:w="11906"/>
      <w:pgMar w:bottom="1134" w:footer="284" w:gutter="0" w:header="113" w:left="1418" w:right="1418" w:top="1531"/>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2303" w14:textId="77777777" w:rsidR="00380E81" w:rsidRPr="00380E81" w:rsidRDefault="00380E81" w:rsidP="00380E8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FCB9" w14:textId="668E224C" w:rsidR="000272CA" w:rsidRPr="003113C7" w:rsidRDefault="000460EF" w:rsidP="000272CA">
    <w:pPr>
      <w:spacing w:line="276" w:lineRule="auto"/>
      <w:rPr>
        <w:rFonts w:cs="Segoe UI"/>
        <w:bCs/>
        <w:sz w:val="20"/>
        <w:lang w:val="de-AT"/>
      </w:rPr>
    </w:pPr>
    <w:r>
      <w:rPr>
        <w:rFonts w:cs="Segoe UI"/>
        <w:bCs/>
        <w:sz w:val="14"/>
        <w:lang w:val="de-AT"/>
      </w:rPr>
      <w:t xml:space="preserve">Datenquelle: </w:t>
    </w:r>
    <w:r w:rsidR="00F51CA3" w:rsidRPr="003113C7">
      <w:rPr>
        <w:rFonts w:cs="Segoe UI"/>
        <w:bCs/>
        <w:sz w:val="14"/>
        <w:lang w:val="de-AT"/>
      </w:rPr>
      <w:t>saisonbereinigte und reale Werte</w:t>
    </w:r>
    <w:r>
      <w:rPr>
        <w:rFonts w:cs="Segoe UI"/>
        <w:bCs/>
        <w:sz w:val="14"/>
        <w:lang w:val="de-AT"/>
      </w:rPr>
      <w:t xml:space="preserve">: </w:t>
    </w:r>
    <w:r w:rsidR="000272CA" w:rsidRPr="003113C7">
      <w:rPr>
        <w:rFonts w:cs="Segoe UI"/>
        <w:bCs/>
        <w:sz w:val="14"/>
        <w:lang w:val="de-AT"/>
      </w:rPr>
      <w:t xml:space="preserve">IHS (FIW Trade </w:t>
    </w:r>
    <w:proofErr w:type="spellStart"/>
    <w:r w:rsidR="000272CA" w:rsidRPr="003113C7">
      <w:rPr>
        <w:rFonts w:cs="Segoe UI"/>
        <w:bCs/>
        <w:sz w:val="14"/>
        <w:lang w:val="de-AT"/>
      </w:rPr>
      <w:t>Indicator</w:t>
    </w:r>
    <w:proofErr w:type="spellEnd"/>
    <w:r w:rsidR="000272CA" w:rsidRPr="003113C7">
      <w:rPr>
        <w:rFonts w:cs="Segoe UI"/>
        <w:bCs/>
        <w:sz w:val="14"/>
        <w:lang w:val="de-AT"/>
      </w:rPr>
      <w:t xml:space="preserve"> </w:t>
    </w:r>
    <w:proofErr w:type="spellStart"/>
    <w:r w:rsidR="000272CA" w:rsidRPr="003113C7">
      <w:rPr>
        <w:rFonts w:cs="Segoe UI"/>
        <w:bCs/>
        <w:sz w:val="14"/>
        <w:lang w:val="de-AT"/>
      </w:rPr>
      <w:t>Nowcast</w:t>
    </w:r>
    <w:proofErr w:type="spellEnd"/>
    <w:r w:rsidR="000272CA" w:rsidRPr="003113C7">
      <w:rPr>
        <w:rFonts w:cs="Segoe UI"/>
        <w:bCs/>
        <w:sz w:val="14"/>
        <w:lang w:val="de-AT"/>
      </w:rPr>
      <w:t>); Alles andere: Statistik Austria</w:t>
    </w:r>
    <w:r w:rsidR="00C276C2">
      <w:rPr>
        <w:rFonts w:cs="Segoe UI"/>
        <w:bCs/>
        <w:sz w:val="14"/>
        <w:lang w:val="de-AT"/>
      </w:rPr>
      <w:t>, Eurostat</w:t>
    </w:r>
  </w:p>
  <w:p w14:paraId="68CEFCF4" w14:textId="77777777" w:rsidR="00380E81" w:rsidRPr="00A12AD6" w:rsidRDefault="00380E81" w:rsidP="00380E81">
    <w:pPr>
      <w:pStyle w:val="Footer"/>
      <w:jc w:val="right"/>
      <w:rPr>
        <w:rFonts w:cs="Segoe UI"/>
        <w:sz w:val="16"/>
      </w:rPr>
    </w:pPr>
    <w:r w:rsidRPr="00A12AD6">
      <w:rPr>
        <w:rFonts w:cs="Segoe UI"/>
        <w:sz w:val="16"/>
      </w:rPr>
      <w:t xml:space="preserve">Seite </w:t>
    </w:r>
    <w:r w:rsidRPr="00A12AD6">
      <w:rPr>
        <w:rFonts w:cs="Segoe UI"/>
        <w:bCs/>
        <w:sz w:val="16"/>
      </w:rPr>
      <w:fldChar w:fldCharType="begin"/>
    </w:r>
    <w:r w:rsidRPr="00A12AD6">
      <w:rPr>
        <w:rFonts w:cs="Segoe UI"/>
        <w:bCs/>
        <w:sz w:val="16"/>
      </w:rPr>
      <w:instrText>PAGE  \* Arabic  \* MERGEFORMAT</w:instrText>
    </w:r>
    <w:r w:rsidRPr="00A12AD6">
      <w:rPr>
        <w:rFonts w:cs="Segoe UI"/>
        <w:bCs/>
        <w:sz w:val="16"/>
      </w:rPr>
      <w:fldChar w:fldCharType="separate"/>
    </w:r>
    <w:r w:rsidR="00113A46">
      <w:rPr>
        <w:rFonts w:cs="Segoe UI"/>
        <w:bCs/>
        <w:noProof/>
        <w:sz w:val="16"/>
      </w:rPr>
      <w:t>1</w:t>
    </w:r>
    <w:r w:rsidRPr="00A12AD6">
      <w:rPr>
        <w:rFonts w:cs="Segoe UI"/>
        <w:bCs/>
        <w:sz w:val="16"/>
      </w:rPr>
      <w:fldChar w:fldCharType="end"/>
    </w:r>
    <w:r w:rsidRPr="00A12AD6">
      <w:rPr>
        <w:rFonts w:cs="Segoe UI"/>
        <w:sz w:val="16"/>
      </w:rPr>
      <w:t xml:space="preserve"> von </w:t>
    </w:r>
    <w:r w:rsidRPr="00A12AD6">
      <w:rPr>
        <w:rFonts w:cs="Segoe UI"/>
        <w:bCs/>
        <w:sz w:val="16"/>
      </w:rPr>
      <w:fldChar w:fldCharType="begin"/>
    </w:r>
    <w:r w:rsidRPr="00A12AD6">
      <w:rPr>
        <w:rFonts w:cs="Segoe UI"/>
        <w:bCs/>
        <w:sz w:val="16"/>
      </w:rPr>
      <w:instrText>NUMPAGES  \* Arabic  \* MERGEFORMAT</w:instrText>
    </w:r>
    <w:r w:rsidRPr="00A12AD6">
      <w:rPr>
        <w:rFonts w:cs="Segoe UI"/>
        <w:bCs/>
        <w:sz w:val="16"/>
      </w:rPr>
      <w:fldChar w:fldCharType="separate"/>
    </w:r>
    <w:r w:rsidR="00113A46">
      <w:rPr>
        <w:rFonts w:cs="Segoe UI"/>
        <w:bCs/>
        <w:noProof/>
        <w:sz w:val="16"/>
      </w:rPr>
      <w:t>1</w:t>
    </w:r>
    <w:r w:rsidRPr="00A12AD6">
      <w:rPr>
        <w:rFonts w:cs="Segoe UI"/>
        <w:bCs/>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0">
    <w:p>
      <w:pPr>
        <w:pStyle w:val="FootnoteText"/>
      </w:pPr>
      <w:r>
        <w:rPr>
          <w:rStyle w:val="FootnoteReference"/>
        </w:rPr>
        <w:footnoteRef/>
      </w:r>
      <w:r>
        <w:t xml:space="preserve"> </w:t>
      </w:r>
      <w:r>
        <w:t xml:space="preserve">Für die Saisonbereinigung wird das von Eurostat offiziell empfohlene Tool JDemetra+ verwendet, das im Wesentlichen auf der TRAMO/SEATS Methode beruht. Eine genauere Beschreibung der Bereinigung kann auf dem IHS Trade-Monitor unter User-Guide gefunden werden.</w:t>
      </w:r>
    </w:p>
  </w:footnote>
  <w:footnote w:id="35">
    <w:p>
      <w:pPr>
        <w:pStyle w:val="FootnoteText"/>
      </w:pPr>
      <w:r>
        <w:rPr>
          <w:rStyle w:val="FootnoteReference"/>
        </w:rPr>
        <w:footnoteRef/>
      </w:r>
      <w:r>
        <w:t xml:space="preserve"> </w:t>
      </w:r>
      <w:r>
        <w:t xml:space="preserve">Die zugrundeliegenden Daten sind nicht saison- und kalenderbereinigt.</w:t>
      </w:r>
    </w:p>
  </w:footnote>
  <w:footnote w:id="36">
    <w:p>
      <w:pPr>
        <w:pStyle w:val="FootnoteText"/>
      </w:pPr>
      <w:r>
        <w:rPr>
          <w:rStyle w:val="FootnoteReference"/>
        </w:rPr>
        <w:footnoteRef/>
      </w:r>
      <w:r>
        <w:t xml:space="preserve"> </w:t>
      </w:r>
      <w:r>
        <w:t xml:space="preserve">Die Terms of Trade beschreiben das Verhältnis zwischen den Exportpreisen und den Importpreisen eines Landes.</w:t>
      </w:r>
    </w:p>
  </w:footnote>
  <w:footnote w:id="66">
    <w:p>
      <w:pPr>
        <w:pStyle w:val="FootnoteText"/>
      </w:pPr>
      <w:r>
        <w:rPr>
          <w:rStyle w:val="FootnoteReference"/>
        </w:rPr>
        <w:footnoteRef/>
      </w:r>
      <w:r>
        <w:t xml:space="preserve"> </w:t>
      </w:r>
      <w:r>
        <w:t xml:space="preserve">Das Verzeichnis der Subregionen ist auf der</w:t>
      </w:r>
      <w:r>
        <w:t xml:space="preserve"> </w:t>
      </w:r>
      <w:hyperlink r:id="rId67">
        <w:r>
          <w:rPr>
            <w:rStyle w:val="Hyperlink"/>
          </w:rPr>
          <w:t xml:space="preserve">IHS Trade Monitor Website</w:t>
        </w:r>
      </w:hyperlink>
      <w:r>
        <w:t xml:space="preserve"> </w:t>
      </w:r>
      <w:r>
        <w:t xml:space="preserve">unter diesem Bericht abrufbar.</w:t>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B6C7125"/>
    <w:multiLevelType w:val="hybridMultilevel"/>
    <w:tmpl w:val="63040A5A"/>
    <w:lvl w:ilvl="0" w:tplc="0C070001">
      <w:start w:val="1"/>
      <w:numFmt w:val="bullet"/>
      <w:lvlText w:val=""/>
      <w:lvlJc w:val="left"/>
      <w:pPr>
        <w:ind w:hanging="360" w:left="720"/>
      </w:pPr>
      <w:rPr>
        <w:rFonts w:ascii="Symbol" w:hAnsi="Symbol" w:hint="default"/>
      </w:rPr>
    </w:lvl>
    <w:lvl w:ilvl="1" w:tplc="0C070003">
      <w:start w:val="1"/>
      <w:numFmt w:val="bullet"/>
      <w:lvlText w:val="o"/>
      <w:lvlJc w:val="left"/>
      <w:pPr>
        <w:ind w:hanging="360" w:left="1440"/>
      </w:pPr>
      <w:rPr>
        <w:rFonts w:ascii="Courier New" w:cs="Courier New" w:hAnsi="Courier New" w:hint="default"/>
      </w:rPr>
    </w:lvl>
    <w:lvl w:ilvl="2" w:tentative="1" w:tplc="0C070005">
      <w:start w:val="1"/>
      <w:numFmt w:val="bullet"/>
      <w:lvlText w:val=""/>
      <w:lvlJc w:val="left"/>
      <w:pPr>
        <w:ind w:hanging="360" w:left="2160"/>
      </w:pPr>
      <w:rPr>
        <w:rFonts w:ascii="Wingdings" w:hAnsi="Wingdings" w:hint="default"/>
      </w:rPr>
    </w:lvl>
    <w:lvl w:ilvl="3" w:tentative="1" w:tplc="0C070001">
      <w:start w:val="1"/>
      <w:numFmt w:val="bullet"/>
      <w:lvlText w:val=""/>
      <w:lvlJc w:val="left"/>
      <w:pPr>
        <w:ind w:hanging="360" w:left="2880"/>
      </w:pPr>
      <w:rPr>
        <w:rFonts w:ascii="Symbol" w:hAnsi="Symbol" w:hint="default"/>
      </w:rPr>
    </w:lvl>
    <w:lvl w:ilvl="4" w:tentative="1" w:tplc="0C070003">
      <w:start w:val="1"/>
      <w:numFmt w:val="bullet"/>
      <w:lvlText w:val="o"/>
      <w:lvlJc w:val="left"/>
      <w:pPr>
        <w:ind w:hanging="360" w:left="3600"/>
      </w:pPr>
      <w:rPr>
        <w:rFonts w:ascii="Courier New" w:cs="Courier New" w:hAnsi="Courier New" w:hint="default"/>
      </w:rPr>
    </w:lvl>
    <w:lvl w:ilvl="5" w:tentative="1" w:tplc="0C070005">
      <w:start w:val="1"/>
      <w:numFmt w:val="bullet"/>
      <w:lvlText w:val=""/>
      <w:lvlJc w:val="left"/>
      <w:pPr>
        <w:ind w:hanging="360" w:left="4320"/>
      </w:pPr>
      <w:rPr>
        <w:rFonts w:ascii="Wingdings" w:hAnsi="Wingdings" w:hint="default"/>
      </w:rPr>
    </w:lvl>
    <w:lvl w:ilvl="6" w:tentative="1" w:tplc="0C070001">
      <w:start w:val="1"/>
      <w:numFmt w:val="bullet"/>
      <w:lvlText w:val=""/>
      <w:lvlJc w:val="left"/>
      <w:pPr>
        <w:ind w:hanging="360" w:left="5040"/>
      </w:pPr>
      <w:rPr>
        <w:rFonts w:ascii="Symbol" w:hAnsi="Symbol" w:hint="default"/>
      </w:rPr>
    </w:lvl>
    <w:lvl w:ilvl="7" w:tentative="1" w:tplc="0C070003">
      <w:start w:val="1"/>
      <w:numFmt w:val="bullet"/>
      <w:lvlText w:val="o"/>
      <w:lvlJc w:val="left"/>
      <w:pPr>
        <w:ind w:hanging="360" w:left="5760"/>
      </w:pPr>
      <w:rPr>
        <w:rFonts w:ascii="Courier New" w:cs="Courier New" w:hAnsi="Courier New" w:hint="default"/>
      </w:rPr>
    </w:lvl>
    <w:lvl w:ilvl="8" w:tentative="1" w:tplc="0C070005">
      <w:start w:val="1"/>
      <w:numFmt w:val="bullet"/>
      <w:lvlText w:val=""/>
      <w:lvlJc w:val="left"/>
      <w:pPr>
        <w:ind w:hanging="360" w:left="6480"/>
      </w:pPr>
      <w:rPr>
        <w:rFonts w:ascii="Wingdings" w:hAnsi="Wingdings" w:hint="default"/>
      </w:rPr>
    </w:lvl>
  </w:abstractNum>
  <w:abstractNum w15:restartNumberingAfterBreak="0" w:abstractNumId="1">
    <w:nsid w:val="0F5572DD"/>
    <w:multiLevelType w:val="hybridMultilevel"/>
    <w:tmpl w:val="5E2C31C2"/>
    <w:lvl w:ilvl="0" w:tplc="0C070001">
      <w:start w:val="1"/>
      <w:numFmt w:val="bullet"/>
      <w:lvlText w:val=""/>
      <w:lvlJc w:val="left"/>
      <w:pPr>
        <w:ind w:hanging="360" w:left="720"/>
      </w:pPr>
      <w:rPr>
        <w:rFonts w:ascii="Symbol" w:hAnsi="Symbol" w:hint="default"/>
      </w:rPr>
    </w:lvl>
    <w:lvl w:ilvl="1" w:tplc="0C070003">
      <w:start w:val="1"/>
      <w:numFmt w:val="bullet"/>
      <w:lvlText w:val="o"/>
      <w:lvlJc w:val="left"/>
      <w:pPr>
        <w:ind w:hanging="360" w:left="1440"/>
      </w:pPr>
      <w:rPr>
        <w:rFonts w:ascii="Courier New" w:cs="Courier New" w:hAnsi="Courier New" w:hint="default"/>
      </w:rPr>
    </w:lvl>
    <w:lvl w:ilvl="2" w:tplc="0C070005">
      <w:start w:val="1"/>
      <w:numFmt w:val="bullet"/>
      <w:lvlText w:val=""/>
      <w:lvlJc w:val="left"/>
      <w:pPr>
        <w:ind w:hanging="360" w:left="2160"/>
      </w:pPr>
      <w:rPr>
        <w:rFonts w:ascii="Wingdings" w:hAnsi="Wingdings" w:hint="default"/>
      </w:rPr>
    </w:lvl>
    <w:lvl w:ilvl="3" w:tplc="0C070001">
      <w:start w:val="1"/>
      <w:numFmt w:val="bullet"/>
      <w:lvlText w:val=""/>
      <w:lvlJc w:val="left"/>
      <w:pPr>
        <w:ind w:hanging="360" w:left="2880"/>
      </w:pPr>
      <w:rPr>
        <w:rFonts w:ascii="Symbol" w:hAnsi="Symbol" w:hint="default"/>
      </w:rPr>
    </w:lvl>
    <w:lvl w:ilvl="4" w:tplc="0C070003">
      <w:start w:val="1"/>
      <w:numFmt w:val="bullet"/>
      <w:lvlText w:val="o"/>
      <w:lvlJc w:val="left"/>
      <w:pPr>
        <w:ind w:hanging="360" w:left="3600"/>
      </w:pPr>
      <w:rPr>
        <w:rFonts w:ascii="Courier New" w:cs="Courier New" w:hAnsi="Courier New" w:hint="default"/>
      </w:rPr>
    </w:lvl>
    <w:lvl w:ilvl="5" w:tplc="0C070005">
      <w:start w:val="1"/>
      <w:numFmt w:val="bullet"/>
      <w:lvlText w:val=""/>
      <w:lvlJc w:val="left"/>
      <w:pPr>
        <w:ind w:hanging="360" w:left="4320"/>
      </w:pPr>
      <w:rPr>
        <w:rFonts w:ascii="Wingdings" w:hAnsi="Wingdings" w:hint="default"/>
      </w:rPr>
    </w:lvl>
    <w:lvl w:ilvl="6" w:tplc="0C070001">
      <w:start w:val="1"/>
      <w:numFmt w:val="bullet"/>
      <w:lvlText w:val=""/>
      <w:lvlJc w:val="left"/>
      <w:pPr>
        <w:ind w:hanging="360" w:left="5040"/>
      </w:pPr>
      <w:rPr>
        <w:rFonts w:ascii="Symbol" w:hAnsi="Symbol" w:hint="default"/>
      </w:rPr>
    </w:lvl>
    <w:lvl w:ilvl="7" w:tplc="0C070003">
      <w:start w:val="1"/>
      <w:numFmt w:val="bullet"/>
      <w:lvlText w:val="o"/>
      <w:lvlJc w:val="left"/>
      <w:pPr>
        <w:ind w:hanging="360" w:left="5760"/>
      </w:pPr>
      <w:rPr>
        <w:rFonts w:ascii="Courier New" w:cs="Courier New" w:hAnsi="Courier New" w:hint="default"/>
      </w:rPr>
    </w:lvl>
    <w:lvl w:ilvl="8" w:tplc="0C070005">
      <w:start w:val="1"/>
      <w:numFmt w:val="bullet"/>
      <w:lvlText w:val=""/>
      <w:lvlJc w:val="left"/>
      <w:pPr>
        <w:ind w:hanging="360" w:left="6480"/>
      </w:pPr>
      <w:rPr>
        <w:rFonts w:ascii="Wingdings" w:hAnsi="Wingdings" w:hint="default"/>
      </w:rPr>
    </w:lvl>
  </w:abstractNum>
  <w:abstractNum w15:restartNumberingAfterBreak="0" w:abstractNumId="2">
    <w:nsid w:val="17AB24BC"/>
    <w:multiLevelType w:val="hybridMultilevel"/>
    <w:tmpl w:val="EA486AB8"/>
    <w:lvl w:ilvl="0" w:tplc="0C070001">
      <w:start w:val="1"/>
      <w:numFmt w:val="bullet"/>
      <w:lvlText w:val=""/>
      <w:lvlJc w:val="left"/>
      <w:pPr>
        <w:ind w:hanging="360" w:left="720"/>
      </w:pPr>
      <w:rPr>
        <w:rFonts w:ascii="Symbol" w:hAnsi="Symbol" w:hint="default"/>
      </w:rPr>
    </w:lvl>
    <w:lvl w:ilvl="1" w:tentative="1" w:tplc="0C070003">
      <w:start w:val="1"/>
      <w:numFmt w:val="bullet"/>
      <w:lvlText w:val="o"/>
      <w:lvlJc w:val="left"/>
      <w:pPr>
        <w:ind w:hanging="360" w:left="1440"/>
      </w:pPr>
      <w:rPr>
        <w:rFonts w:ascii="Courier New" w:cs="Courier New" w:hAnsi="Courier New" w:hint="default"/>
      </w:rPr>
    </w:lvl>
    <w:lvl w:ilvl="2" w:tentative="1" w:tplc="0C070005">
      <w:start w:val="1"/>
      <w:numFmt w:val="bullet"/>
      <w:lvlText w:val=""/>
      <w:lvlJc w:val="left"/>
      <w:pPr>
        <w:ind w:hanging="360" w:left="2160"/>
      </w:pPr>
      <w:rPr>
        <w:rFonts w:ascii="Wingdings" w:hAnsi="Wingdings" w:hint="default"/>
      </w:rPr>
    </w:lvl>
    <w:lvl w:ilvl="3" w:tentative="1" w:tplc="0C070001">
      <w:start w:val="1"/>
      <w:numFmt w:val="bullet"/>
      <w:lvlText w:val=""/>
      <w:lvlJc w:val="left"/>
      <w:pPr>
        <w:ind w:hanging="360" w:left="2880"/>
      </w:pPr>
      <w:rPr>
        <w:rFonts w:ascii="Symbol" w:hAnsi="Symbol" w:hint="default"/>
      </w:rPr>
    </w:lvl>
    <w:lvl w:ilvl="4" w:tentative="1" w:tplc="0C070003">
      <w:start w:val="1"/>
      <w:numFmt w:val="bullet"/>
      <w:lvlText w:val="o"/>
      <w:lvlJc w:val="left"/>
      <w:pPr>
        <w:ind w:hanging="360" w:left="3600"/>
      </w:pPr>
      <w:rPr>
        <w:rFonts w:ascii="Courier New" w:cs="Courier New" w:hAnsi="Courier New" w:hint="default"/>
      </w:rPr>
    </w:lvl>
    <w:lvl w:ilvl="5" w:tentative="1" w:tplc="0C070005">
      <w:start w:val="1"/>
      <w:numFmt w:val="bullet"/>
      <w:lvlText w:val=""/>
      <w:lvlJc w:val="left"/>
      <w:pPr>
        <w:ind w:hanging="360" w:left="4320"/>
      </w:pPr>
      <w:rPr>
        <w:rFonts w:ascii="Wingdings" w:hAnsi="Wingdings" w:hint="default"/>
      </w:rPr>
    </w:lvl>
    <w:lvl w:ilvl="6" w:tentative="1" w:tplc="0C070001">
      <w:start w:val="1"/>
      <w:numFmt w:val="bullet"/>
      <w:lvlText w:val=""/>
      <w:lvlJc w:val="left"/>
      <w:pPr>
        <w:ind w:hanging="360" w:left="5040"/>
      </w:pPr>
      <w:rPr>
        <w:rFonts w:ascii="Symbol" w:hAnsi="Symbol" w:hint="default"/>
      </w:rPr>
    </w:lvl>
    <w:lvl w:ilvl="7" w:tentative="1" w:tplc="0C070003">
      <w:start w:val="1"/>
      <w:numFmt w:val="bullet"/>
      <w:lvlText w:val="o"/>
      <w:lvlJc w:val="left"/>
      <w:pPr>
        <w:ind w:hanging="360" w:left="5760"/>
      </w:pPr>
      <w:rPr>
        <w:rFonts w:ascii="Courier New" w:cs="Courier New" w:hAnsi="Courier New" w:hint="default"/>
      </w:rPr>
    </w:lvl>
    <w:lvl w:ilvl="8" w:tentative="1" w:tplc="0C070005">
      <w:start w:val="1"/>
      <w:numFmt w:val="bullet"/>
      <w:lvlText w:val=""/>
      <w:lvlJc w:val="left"/>
      <w:pPr>
        <w:ind w:hanging="360" w:left="6480"/>
      </w:pPr>
      <w:rPr>
        <w:rFonts w:ascii="Wingdings" w:hAnsi="Wingdings" w:hint="default"/>
      </w:rPr>
    </w:lvl>
  </w:abstractNum>
  <w:abstractNum w15:restartNumberingAfterBreak="0" w:abstractNumId="3">
    <w:nsid w:val="2AB51227"/>
    <w:multiLevelType w:val="hybridMultilevel"/>
    <w:tmpl w:val="3280D494"/>
    <w:lvl w:ilvl="0" w:tplc="0C070001">
      <w:start w:val="1"/>
      <w:numFmt w:val="bullet"/>
      <w:lvlText w:val=""/>
      <w:lvlJc w:val="left"/>
      <w:pPr>
        <w:ind w:hanging="360" w:left="720"/>
      </w:pPr>
      <w:rPr>
        <w:rFonts w:ascii="Symbol" w:hAnsi="Symbol" w:hint="default"/>
      </w:rPr>
    </w:lvl>
    <w:lvl w:ilvl="1" w:tentative="1" w:tplc="0C070003">
      <w:start w:val="1"/>
      <w:numFmt w:val="bullet"/>
      <w:lvlText w:val="o"/>
      <w:lvlJc w:val="left"/>
      <w:pPr>
        <w:ind w:hanging="360" w:left="1440"/>
      </w:pPr>
      <w:rPr>
        <w:rFonts w:ascii="Courier New" w:cs="Courier New" w:hAnsi="Courier New" w:hint="default"/>
      </w:rPr>
    </w:lvl>
    <w:lvl w:ilvl="2" w:tentative="1" w:tplc="0C070005">
      <w:start w:val="1"/>
      <w:numFmt w:val="bullet"/>
      <w:lvlText w:val=""/>
      <w:lvlJc w:val="left"/>
      <w:pPr>
        <w:ind w:hanging="360" w:left="2160"/>
      </w:pPr>
      <w:rPr>
        <w:rFonts w:ascii="Wingdings" w:hAnsi="Wingdings" w:hint="default"/>
      </w:rPr>
    </w:lvl>
    <w:lvl w:ilvl="3" w:tentative="1" w:tplc="0C070001">
      <w:start w:val="1"/>
      <w:numFmt w:val="bullet"/>
      <w:lvlText w:val=""/>
      <w:lvlJc w:val="left"/>
      <w:pPr>
        <w:ind w:hanging="360" w:left="2880"/>
      </w:pPr>
      <w:rPr>
        <w:rFonts w:ascii="Symbol" w:hAnsi="Symbol" w:hint="default"/>
      </w:rPr>
    </w:lvl>
    <w:lvl w:ilvl="4" w:tentative="1" w:tplc="0C070003">
      <w:start w:val="1"/>
      <w:numFmt w:val="bullet"/>
      <w:lvlText w:val="o"/>
      <w:lvlJc w:val="left"/>
      <w:pPr>
        <w:ind w:hanging="360" w:left="3600"/>
      </w:pPr>
      <w:rPr>
        <w:rFonts w:ascii="Courier New" w:cs="Courier New" w:hAnsi="Courier New" w:hint="default"/>
      </w:rPr>
    </w:lvl>
    <w:lvl w:ilvl="5" w:tentative="1" w:tplc="0C070005">
      <w:start w:val="1"/>
      <w:numFmt w:val="bullet"/>
      <w:lvlText w:val=""/>
      <w:lvlJc w:val="left"/>
      <w:pPr>
        <w:ind w:hanging="360" w:left="4320"/>
      </w:pPr>
      <w:rPr>
        <w:rFonts w:ascii="Wingdings" w:hAnsi="Wingdings" w:hint="default"/>
      </w:rPr>
    </w:lvl>
    <w:lvl w:ilvl="6" w:tentative="1" w:tplc="0C070001">
      <w:start w:val="1"/>
      <w:numFmt w:val="bullet"/>
      <w:lvlText w:val=""/>
      <w:lvlJc w:val="left"/>
      <w:pPr>
        <w:ind w:hanging="360" w:left="5040"/>
      </w:pPr>
      <w:rPr>
        <w:rFonts w:ascii="Symbol" w:hAnsi="Symbol" w:hint="default"/>
      </w:rPr>
    </w:lvl>
    <w:lvl w:ilvl="7" w:tentative="1" w:tplc="0C070003">
      <w:start w:val="1"/>
      <w:numFmt w:val="bullet"/>
      <w:lvlText w:val="o"/>
      <w:lvlJc w:val="left"/>
      <w:pPr>
        <w:ind w:hanging="360" w:left="5760"/>
      </w:pPr>
      <w:rPr>
        <w:rFonts w:ascii="Courier New" w:cs="Courier New" w:hAnsi="Courier New" w:hint="default"/>
      </w:rPr>
    </w:lvl>
    <w:lvl w:ilvl="8" w:tentative="1" w:tplc="0C070005">
      <w:start w:val="1"/>
      <w:numFmt w:val="bullet"/>
      <w:lvlText w:val=""/>
      <w:lvlJc w:val="left"/>
      <w:pPr>
        <w:ind w:hanging="360" w:left="6480"/>
      </w:pPr>
      <w:rPr>
        <w:rFonts w:ascii="Wingdings" w:hAnsi="Wingdings" w:hint="default"/>
      </w:rPr>
    </w:lvl>
  </w:abstractNum>
  <w:abstractNum w15:restartNumberingAfterBreak="0" w:abstractNumId="4">
    <w:nsid w:val="3C1F3FDD"/>
    <w:multiLevelType w:val="hybridMultilevel"/>
    <w:tmpl w:val="F09C251A"/>
    <w:lvl w:ilvl="0" w:tplc="0C070001">
      <w:start w:val="1"/>
      <w:numFmt w:val="bullet"/>
      <w:lvlText w:val=""/>
      <w:lvlJc w:val="left"/>
      <w:pPr>
        <w:ind w:hanging="360" w:left="720"/>
      </w:pPr>
      <w:rPr>
        <w:rFonts w:ascii="Symbol" w:hAnsi="Symbol" w:hint="default"/>
      </w:rPr>
    </w:lvl>
    <w:lvl w:ilvl="1" w:tentative="1" w:tplc="0C070003">
      <w:start w:val="1"/>
      <w:numFmt w:val="bullet"/>
      <w:lvlText w:val="o"/>
      <w:lvlJc w:val="left"/>
      <w:pPr>
        <w:ind w:hanging="360" w:left="1440"/>
      </w:pPr>
      <w:rPr>
        <w:rFonts w:ascii="Courier New" w:cs="Courier New" w:hAnsi="Courier New" w:hint="default"/>
      </w:rPr>
    </w:lvl>
    <w:lvl w:ilvl="2" w:tentative="1" w:tplc="0C070005">
      <w:start w:val="1"/>
      <w:numFmt w:val="bullet"/>
      <w:lvlText w:val=""/>
      <w:lvlJc w:val="left"/>
      <w:pPr>
        <w:ind w:hanging="360" w:left="2160"/>
      </w:pPr>
      <w:rPr>
        <w:rFonts w:ascii="Wingdings" w:hAnsi="Wingdings" w:hint="default"/>
      </w:rPr>
    </w:lvl>
    <w:lvl w:ilvl="3" w:tentative="1" w:tplc="0C070001">
      <w:start w:val="1"/>
      <w:numFmt w:val="bullet"/>
      <w:lvlText w:val=""/>
      <w:lvlJc w:val="left"/>
      <w:pPr>
        <w:ind w:hanging="360" w:left="2880"/>
      </w:pPr>
      <w:rPr>
        <w:rFonts w:ascii="Symbol" w:hAnsi="Symbol" w:hint="default"/>
      </w:rPr>
    </w:lvl>
    <w:lvl w:ilvl="4" w:tentative="1" w:tplc="0C070003">
      <w:start w:val="1"/>
      <w:numFmt w:val="bullet"/>
      <w:lvlText w:val="o"/>
      <w:lvlJc w:val="left"/>
      <w:pPr>
        <w:ind w:hanging="360" w:left="3600"/>
      </w:pPr>
      <w:rPr>
        <w:rFonts w:ascii="Courier New" w:cs="Courier New" w:hAnsi="Courier New" w:hint="default"/>
      </w:rPr>
    </w:lvl>
    <w:lvl w:ilvl="5" w:tentative="1" w:tplc="0C070005">
      <w:start w:val="1"/>
      <w:numFmt w:val="bullet"/>
      <w:lvlText w:val=""/>
      <w:lvlJc w:val="left"/>
      <w:pPr>
        <w:ind w:hanging="360" w:left="4320"/>
      </w:pPr>
      <w:rPr>
        <w:rFonts w:ascii="Wingdings" w:hAnsi="Wingdings" w:hint="default"/>
      </w:rPr>
    </w:lvl>
    <w:lvl w:ilvl="6" w:tentative="1" w:tplc="0C070001">
      <w:start w:val="1"/>
      <w:numFmt w:val="bullet"/>
      <w:lvlText w:val=""/>
      <w:lvlJc w:val="left"/>
      <w:pPr>
        <w:ind w:hanging="360" w:left="5040"/>
      </w:pPr>
      <w:rPr>
        <w:rFonts w:ascii="Symbol" w:hAnsi="Symbol" w:hint="default"/>
      </w:rPr>
    </w:lvl>
    <w:lvl w:ilvl="7" w:tentative="1" w:tplc="0C070003">
      <w:start w:val="1"/>
      <w:numFmt w:val="bullet"/>
      <w:lvlText w:val="o"/>
      <w:lvlJc w:val="left"/>
      <w:pPr>
        <w:ind w:hanging="360" w:left="5760"/>
      </w:pPr>
      <w:rPr>
        <w:rFonts w:ascii="Courier New" w:cs="Courier New" w:hAnsi="Courier New" w:hint="default"/>
      </w:rPr>
    </w:lvl>
    <w:lvl w:ilvl="8" w:tentative="1" w:tplc="0C070005">
      <w:start w:val="1"/>
      <w:numFmt w:val="bullet"/>
      <w:lvlText w:val=""/>
      <w:lvlJc w:val="left"/>
      <w:pPr>
        <w:ind w:hanging="360" w:left="6480"/>
      </w:pPr>
      <w:rPr>
        <w:rFonts w:ascii="Wingdings" w:hAnsi="Wingdings" w:hint="default"/>
      </w:rPr>
    </w:lvl>
  </w:abstractNum>
  <w:abstractNum w15:restartNumberingAfterBreak="0" w:abstractNumId="5">
    <w:nsid w:val="5AFE0D14"/>
    <w:multiLevelType w:val="hybridMultilevel"/>
    <w:tmpl w:val="B2C83C3E"/>
    <w:lvl w:ilvl="0" w:tplc="0C070001">
      <w:start w:val="1"/>
      <w:numFmt w:val="bullet"/>
      <w:lvlText w:val=""/>
      <w:lvlJc w:val="left"/>
      <w:pPr>
        <w:ind w:hanging="360" w:left="720"/>
      </w:pPr>
      <w:rPr>
        <w:rFonts w:ascii="Symbol" w:hAnsi="Symbol" w:hint="default"/>
      </w:rPr>
    </w:lvl>
    <w:lvl w:ilvl="1" w:tplc="0C070003">
      <w:start w:val="1"/>
      <w:numFmt w:val="bullet"/>
      <w:lvlText w:val="o"/>
      <w:lvlJc w:val="left"/>
      <w:pPr>
        <w:ind w:hanging="360" w:left="1440"/>
      </w:pPr>
      <w:rPr>
        <w:rFonts w:ascii="Courier New" w:cs="Courier New" w:hAnsi="Courier New" w:hint="default"/>
      </w:rPr>
    </w:lvl>
    <w:lvl w:ilvl="2" w:tplc="0C070005">
      <w:start w:val="1"/>
      <w:numFmt w:val="bullet"/>
      <w:lvlText w:val=""/>
      <w:lvlJc w:val="left"/>
      <w:pPr>
        <w:ind w:hanging="360" w:left="2160"/>
      </w:pPr>
      <w:rPr>
        <w:rFonts w:ascii="Wingdings" w:hAnsi="Wingdings" w:hint="default"/>
      </w:rPr>
    </w:lvl>
    <w:lvl w:ilvl="3" w:tplc="0C070001">
      <w:start w:val="1"/>
      <w:numFmt w:val="bullet"/>
      <w:lvlText w:val=""/>
      <w:lvlJc w:val="left"/>
      <w:pPr>
        <w:ind w:hanging="360" w:left="2880"/>
      </w:pPr>
      <w:rPr>
        <w:rFonts w:ascii="Symbol" w:hAnsi="Symbol" w:hint="default"/>
      </w:rPr>
    </w:lvl>
    <w:lvl w:ilvl="4" w:tplc="0C070003">
      <w:start w:val="1"/>
      <w:numFmt w:val="bullet"/>
      <w:lvlText w:val="o"/>
      <w:lvlJc w:val="left"/>
      <w:pPr>
        <w:ind w:hanging="360" w:left="3600"/>
      </w:pPr>
      <w:rPr>
        <w:rFonts w:ascii="Courier New" w:cs="Courier New" w:hAnsi="Courier New" w:hint="default"/>
      </w:rPr>
    </w:lvl>
    <w:lvl w:ilvl="5" w:tplc="0C070005">
      <w:start w:val="1"/>
      <w:numFmt w:val="bullet"/>
      <w:lvlText w:val=""/>
      <w:lvlJc w:val="left"/>
      <w:pPr>
        <w:ind w:hanging="360" w:left="4320"/>
      </w:pPr>
      <w:rPr>
        <w:rFonts w:ascii="Wingdings" w:hAnsi="Wingdings" w:hint="default"/>
      </w:rPr>
    </w:lvl>
    <w:lvl w:ilvl="6" w:tplc="0C070001">
      <w:start w:val="1"/>
      <w:numFmt w:val="bullet"/>
      <w:lvlText w:val=""/>
      <w:lvlJc w:val="left"/>
      <w:pPr>
        <w:ind w:hanging="360" w:left="5040"/>
      </w:pPr>
      <w:rPr>
        <w:rFonts w:ascii="Symbol" w:hAnsi="Symbol" w:hint="default"/>
      </w:rPr>
    </w:lvl>
    <w:lvl w:ilvl="7" w:tplc="0C070003">
      <w:start w:val="1"/>
      <w:numFmt w:val="bullet"/>
      <w:lvlText w:val="o"/>
      <w:lvlJc w:val="left"/>
      <w:pPr>
        <w:ind w:hanging="360" w:left="5760"/>
      </w:pPr>
      <w:rPr>
        <w:rFonts w:ascii="Courier New" w:cs="Courier New" w:hAnsi="Courier New" w:hint="default"/>
      </w:rPr>
    </w:lvl>
    <w:lvl w:ilvl="8" w:tplc="0C070005">
      <w:start w:val="1"/>
      <w:numFmt w:val="bullet"/>
      <w:lvlText w:val=""/>
      <w:lvlJc w:val="left"/>
      <w:pPr>
        <w:ind w:hanging="360" w:left="6480"/>
      </w:pPr>
      <w:rPr>
        <w:rFonts w:ascii="Wingdings" w:hAnsi="Wingdings" w:hint="default"/>
      </w:rPr>
    </w:lvl>
  </w:abstractNum>
  <w:abstractNum w15:restartNumberingAfterBreak="0" w:abstractNumId="6">
    <w:nsid w:val="62151682"/>
    <w:multiLevelType w:val="hybridMultilevel"/>
    <w:tmpl w:val="502887F6"/>
    <w:lvl w:ilvl="0" w:tplc="0C070001">
      <w:start w:val="1"/>
      <w:numFmt w:val="bullet"/>
      <w:lvlText w:val=""/>
      <w:lvlJc w:val="left"/>
      <w:pPr>
        <w:ind w:hanging="360" w:left="720"/>
      </w:pPr>
      <w:rPr>
        <w:rFonts w:ascii="Symbol" w:hAnsi="Symbol" w:hint="default"/>
      </w:rPr>
    </w:lvl>
    <w:lvl w:ilvl="1" w:tplc="0C070003">
      <w:start w:val="1"/>
      <w:numFmt w:val="bullet"/>
      <w:lvlText w:val="o"/>
      <w:lvlJc w:val="left"/>
      <w:pPr>
        <w:ind w:hanging="360" w:left="1440"/>
      </w:pPr>
      <w:rPr>
        <w:rFonts w:ascii="Courier New" w:cs="Courier New" w:hAnsi="Courier New" w:hint="default"/>
      </w:rPr>
    </w:lvl>
    <w:lvl w:ilvl="2" w:tplc="0C070005">
      <w:start w:val="1"/>
      <w:numFmt w:val="bullet"/>
      <w:lvlText w:val=""/>
      <w:lvlJc w:val="left"/>
      <w:pPr>
        <w:ind w:hanging="360" w:left="2160"/>
      </w:pPr>
      <w:rPr>
        <w:rFonts w:ascii="Wingdings" w:hAnsi="Wingdings" w:hint="default"/>
      </w:rPr>
    </w:lvl>
    <w:lvl w:ilvl="3" w:tplc="0C070001">
      <w:start w:val="1"/>
      <w:numFmt w:val="bullet"/>
      <w:lvlText w:val=""/>
      <w:lvlJc w:val="left"/>
      <w:pPr>
        <w:ind w:hanging="360" w:left="2880"/>
      </w:pPr>
      <w:rPr>
        <w:rFonts w:ascii="Symbol" w:hAnsi="Symbol" w:hint="default"/>
      </w:rPr>
    </w:lvl>
    <w:lvl w:ilvl="4" w:tplc="0C070003">
      <w:start w:val="1"/>
      <w:numFmt w:val="bullet"/>
      <w:lvlText w:val="o"/>
      <w:lvlJc w:val="left"/>
      <w:pPr>
        <w:ind w:hanging="360" w:left="3600"/>
      </w:pPr>
      <w:rPr>
        <w:rFonts w:ascii="Courier New" w:cs="Courier New" w:hAnsi="Courier New" w:hint="default"/>
      </w:rPr>
    </w:lvl>
    <w:lvl w:ilvl="5" w:tplc="0C070005">
      <w:start w:val="1"/>
      <w:numFmt w:val="bullet"/>
      <w:lvlText w:val=""/>
      <w:lvlJc w:val="left"/>
      <w:pPr>
        <w:ind w:hanging="360" w:left="4320"/>
      </w:pPr>
      <w:rPr>
        <w:rFonts w:ascii="Wingdings" w:hAnsi="Wingdings" w:hint="default"/>
      </w:rPr>
    </w:lvl>
    <w:lvl w:ilvl="6" w:tplc="0C070001">
      <w:start w:val="1"/>
      <w:numFmt w:val="bullet"/>
      <w:lvlText w:val=""/>
      <w:lvlJc w:val="left"/>
      <w:pPr>
        <w:ind w:hanging="360" w:left="5040"/>
      </w:pPr>
      <w:rPr>
        <w:rFonts w:ascii="Symbol" w:hAnsi="Symbol" w:hint="default"/>
      </w:rPr>
    </w:lvl>
    <w:lvl w:ilvl="7" w:tplc="0C070003">
      <w:start w:val="1"/>
      <w:numFmt w:val="bullet"/>
      <w:lvlText w:val="o"/>
      <w:lvlJc w:val="left"/>
      <w:pPr>
        <w:ind w:hanging="360" w:left="5760"/>
      </w:pPr>
      <w:rPr>
        <w:rFonts w:ascii="Courier New" w:cs="Courier New" w:hAnsi="Courier New" w:hint="default"/>
      </w:rPr>
    </w:lvl>
    <w:lvl w:ilvl="8" w:tplc="0C070005">
      <w:start w:val="1"/>
      <w:numFmt w:val="bullet"/>
      <w:lvlText w:val=""/>
      <w:lvlJc w:val="left"/>
      <w:pPr>
        <w:ind w:hanging="360" w:left="6480"/>
      </w:pPr>
      <w:rPr>
        <w:rFonts w:ascii="Wingdings" w:hAnsi="Wingdings" w:hint="default"/>
      </w:rPr>
    </w:lvl>
  </w:abstractNum>
  <w:abstractNum w15:restartNumberingAfterBreak="0" w:abstractNumId="7">
    <w:nsid w:val="660C1D40"/>
    <w:multiLevelType w:val="hybridMultilevel"/>
    <w:tmpl w:val="AF0AC89C"/>
    <w:lvl w:ilvl="0" w:tplc="0C070001">
      <w:start w:val="1"/>
      <w:numFmt w:val="bullet"/>
      <w:lvlText w:val=""/>
      <w:lvlJc w:val="left"/>
      <w:pPr>
        <w:ind w:hanging="360" w:left="720"/>
      </w:pPr>
      <w:rPr>
        <w:rFonts w:ascii="Symbol" w:hAnsi="Symbol" w:hint="default"/>
      </w:rPr>
    </w:lvl>
    <w:lvl w:ilvl="1" w:tplc="0C070003">
      <w:start w:val="1"/>
      <w:numFmt w:val="bullet"/>
      <w:lvlText w:val="o"/>
      <w:lvlJc w:val="left"/>
      <w:pPr>
        <w:ind w:hanging="360" w:left="1440"/>
      </w:pPr>
      <w:rPr>
        <w:rFonts w:ascii="Courier New" w:cs="Courier New" w:hAnsi="Courier New" w:hint="default"/>
      </w:rPr>
    </w:lvl>
    <w:lvl w:ilvl="2" w:tplc="0C070005">
      <w:start w:val="1"/>
      <w:numFmt w:val="bullet"/>
      <w:lvlText w:val=""/>
      <w:lvlJc w:val="left"/>
      <w:pPr>
        <w:ind w:hanging="360" w:left="2160"/>
      </w:pPr>
      <w:rPr>
        <w:rFonts w:ascii="Wingdings" w:hAnsi="Wingdings" w:hint="default"/>
      </w:rPr>
    </w:lvl>
    <w:lvl w:ilvl="3" w:tplc="0C070001">
      <w:start w:val="1"/>
      <w:numFmt w:val="bullet"/>
      <w:lvlText w:val=""/>
      <w:lvlJc w:val="left"/>
      <w:pPr>
        <w:ind w:hanging="360" w:left="2880"/>
      </w:pPr>
      <w:rPr>
        <w:rFonts w:ascii="Symbol" w:hAnsi="Symbol" w:hint="default"/>
      </w:rPr>
    </w:lvl>
    <w:lvl w:ilvl="4" w:tplc="0C070003">
      <w:start w:val="1"/>
      <w:numFmt w:val="bullet"/>
      <w:lvlText w:val="o"/>
      <w:lvlJc w:val="left"/>
      <w:pPr>
        <w:ind w:hanging="360" w:left="3600"/>
      </w:pPr>
      <w:rPr>
        <w:rFonts w:ascii="Courier New" w:cs="Courier New" w:hAnsi="Courier New" w:hint="default"/>
      </w:rPr>
    </w:lvl>
    <w:lvl w:ilvl="5" w:tplc="0C070005">
      <w:start w:val="1"/>
      <w:numFmt w:val="bullet"/>
      <w:lvlText w:val=""/>
      <w:lvlJc w:val="left"/>
      <w:pPr>
        <w:ind w:hanging="360" w:left="4320"/>
      </w:pPr>
      <w:rPr>
        <w:rFonts w:ascii="Wingdings" w:hAnsi="Wingdings" w:hint="default"/>
      </w:rPr>
    </w:lvl>
    <w:lvl w:ilvl="6" w:tplc="0C070001">
      <w:start w:val="1"/>
      <w:numFmt w:val="bullet"/>
      <w:lvlText w:val=""/>
      <w:lvlJc w:val="left"/>
      <w:pPr>
        <w:ind w:hanging="360" w:left="5040"/>
      </w:pPr>
      <w:rPr>
        <w:rFonts w:ascii="Symbol" w:hAnsi="Symbol" w:hint="default"/>
      </w:rPr>
    </w:lvl>
    <w:lvl w:ilvl="7" w:tplc="0C070003">
      <w:start w:val="1"/>
      <w:numFmt w:val="bullet"/>
      <w:lvlText w:val="o"/>
      <w:lvlJc w:val="left"/>
      <w:pPr>
        <w:ind w:hanging="360" w:left="5760"/>
      </w:pPr>
      <w:rPr>
        <w:rFonts w:ascii="Courier New" w:cs="Courier New" w:hAnsi="Courier New" w:hint="default"/>
      </w:rPr>
    </w:lvl>
    <w:lvl w:ilvl="8" w:tplc="0C070005">
      <w:start w:val="1"/>
      <w:numFmt w:val="bullet"/>
      <w:lvlText w:val=""/>
      <w:lvlJc w:val="left"/>
      <w:pPr>
        <w:ind w:hanging="360" w:left="6480"/>
      </w:pPr>
      <w:rPr>
        <w:rFonts w:ascii="Wingdings" w:hAnsi="Wingdings" w:hint="default"/>
      </w:rPr>
    </w:lvl>
  </w:abstractNum>
  <w:abstractNum w15:restartNumberingAfterBreak="0" w:abstractNumId="8">
    <w:nsid w:val="69524FA7"/>
    <w:multiLevelType w:val="hybridMultilevel"/>
    <w:tmpl w:val="07A6B4FC"/>
    <w:lvl w:ilvl="0" w:tplc="0C070001">
      <w:start w:val="1"/>
      <w:numFmt w:val="bullet"/>
      <w:lvlText w:val=""/>
      <w:lvlJc w:val="left"/>
      <w:pPr>
        <w:ind w:hanging="360" w:left="720"/>
      </w:pPr>
      <w:rPr>
        <w:rFonts w:ascii="Symbol" w:hAnsi="Symbol" w:hint="default"/>
      </w:rPr>
    </w:lvl>
    <w:lvl w:ilvl="1" w:tplc="0C070003">
      <w:start w:val="1"/>
      <w:numFmt w:val="bullet"/>
      <w:lvlText w:val="o"/>
      <w:lvlJc w:val="left"/>
      <w:pPr>
        <w:ind w:hanging="360" w:left="1440"/>
      </w:pPr>
      <w:rPr>
        <w:rFonts w:ascii="Courier New" w:cs="Courier New" w:hAnsi="Courier New" w:hint="default"/>
      </w:rPr>
    </w:lvl>
    <w:lvl w:ilvl="2" w:tplc="0C070005">
      <w:start w:val="1"/>
      <w:numFmt w:val="bullet"/>
      <w:lvlText w:val=""/>
      <w:lvlJc w:val="left"/>
      <w:pPr>
        <w:ind w:hanging="360" w:left="2160"/>
      </w:pPr>
      <w:rPr>
        <w:rFonts w:ascii="Wingdings" w:hAnsi="Wingdings" w:hint="default"/>
      </w:rPr>
    </w:lvl>
    <w:lvl w:ilvl="3" w:tplc="0C070001">
      <w:start w:val="1"/>
      <w:numFmt w:val="bullet"/>
      <w:lvlText w:val=""/>
      <w:lvlJc w:val="left"/>
      <w:pPr>
        <w:ind w:hanging="360" w:left="2880"/>
      </w:pPr>
      <w:rPr>
        <w:rFonts w:ascii="Symbol" w:hAnsi="Symbol" w:hint="default"/>
      </w:rPr>
    </w:lvl>
    <w:lvl w:ilvl="4" w:tplc="0C070003">
      <w:start w:val="1"/>
      <w:numFmt w:val="bullet"/>
      <w:lvlText w:val="o"/>
      <w:lvlJc w:val="left"/>
      <w:pPr>
        <w:ind w:hanging="360" w:left="3600"/>
      </w:pPr>
      <w:rPr>
        <w:rFonts w:ascii="Courier New" w:cs="Courier New" w:hAnsi="Courier New" w:hint="default"/>
      </w:rPr>
    </w:lvl>
    <w:lvl w:ilvl="5" w:tplc="0C070005">
      <w:start w:val="1"/>
      <w:numFmt w:val="bullet"/>
      <w:lvlText w:val=""/>
      <w:lvlJc w:val="left"/>
      <w:pPr>
        <w:ind w:hanging="360" w:left="4320"/>
      </w:pPr>
      <w:rPr>
        <w:rFonts w:ascii="Wingdings" w:hAnsi="Wingdings" w:hint="default"/>
      </w:rPr>
    </w:lvl>
    <w:lvl w:ilvl="6" w:tplc="0C070001">
      <w:start w:val="1"/>
      <w:numFmt w:val="bullet"/>
      <w:lvlText w:val=""/>
      <w:lvlJc w:val="left"/>
      <w:pPr>
        <w:ind w:hanging="360" w:left="5040"/>
      </w:pPr>
      <w:rPr>
        <w:rFonts w:ascii="Symbol" w:hAnsi="Symbol" w:hint="default"/>
      </w:rPr>
    </w:lvl>
    <w:lvl w:ilvl="7" w:tplc="0C070003">
      <w:start w:val="1"/>
      <w:numFmt w:val="bullet"/>
      <w:lvlText w:val="o"/>
      <w:lvlJc w:val="left"/>
      <w:pPr>
        <w:ind w:hanging="360" w:left="5760"/>
      </w:pPr>
      <w:rPr>
        <w:rFonts w:ascii="Courier New" w:cs="Courier New" w:hAnsi="Courier New" w:hint="default"/>
      </w:rPr>
    </w:lvl>
    <w:lvl w:ilvl="8" w:tplc="0C070005">
      <w:start w:val="1"/>
      <w:numFmt w:val="bullet"/>
      <w:lvlText w:val=""/>
      <w:lvlJc w:val="left"/>
      <w:pPr>
        <w:ind w:hanging="360" w:left="6480"/>
      </w:pPr>
      <w:rPr>
        <w:rFonts w:ascii="Wingdings" w:hAnsi="Wingdings" w:hint="default"/>
      </w:rPr>
    </w:lvl>
  </w:abstractNum>
  <w:abstractNum w15:restartNumberingAfterBreak="0" w:abstractNumId="9">
    <w:nsid w:val="6D5A54C8"/>
    <w:multiLevelType w:val="hybridMultilevel"/>
    <w:tmpl w:val="8070A6E4"/>
    <w:lvl w:ilvl="0" w:tplc="F5763216">
      <w:start w:val="1"/>
      <w:numFmt w:val="decimal"/>
      <w:pStyle w:val="Subheadingstyle"/>
      <w:lvlText w:val="%1."/>
      <w:lvlJc w:val="left"/>
      <w:pPr>
        <w:ind w:hanging="360" w:left="360"/>
      </w:pPr>
      <w:rPr>
        <w:b/>
      </w:rPr>
    </w:lvl>
    <w:lvl w:ilvl="1" w:tplc="0C070019">
      <w:start w:val="1"/>
      <w:numFmt w:val="lowerLetter"/>
      <w:lvlText w:val="%2."/>
      <w:lvlJc w:val="left"/>
      <w:pPr>
        <w:ind w:hanging="360" w:left="1080"/>
      </w:pPr>
    </w:lvl>
    <w:lvl w:ilvl="2" w:tplc="0C07001B">
      <w:start w:val="1"/>
      <w:numFmt w:val="lowerRoman"/>
      <w:lvlText w:val="%3."/>
      <w:lvlJc w:val="right"/>
      <w:pPr>
        <w:ind w:hanging="180" w:left="1800"/>
      </w:pPr>
    </w:lvl>
    <w:lvl w:ilvl="3" w:tplc="0C07000F">
      <w:start w:val="1"/>
      <w:numFmt w:val="decimal"/>
      <w:lvlText w:val="%4."/>
      <w:lvlJc w:val="left"/>
      <w:pPr>
        <w:ind w:hanging="360" w:left="2520"/>
      </w:pPr>
    </w:lvl>
    <w:lvl w:ilvl="4" w:tplc="0C070019">
      <w:start w:val="1"/>
      <w:numFmt w:val="lowerLetter"/>
      <w:lvlText w:val="%5."/>
      <w:lvlJc w:val="left"/>
      <w:pPr>
        <w:ind w:hanging="360" w:left="3240"/>
      </w:pPr>
    </w:lvl>
    <w:lvl w:ilvl="5" w:tplc="0C07001B">
      <w:start w:val="1"/>
      <w:numFmt w:val="lowerRoman"/>
      <w:lvlText w:val="%6."/>
      <w:lvlJc w:val="right"/>
      <w:pPr>
        <w:ind w:hanging="180" w:left="3960"/>
      </w:pPr>
    </w:lvl>
    <w:lvl w:ilvl="6" w:tplc="0C07000F">
      <w:start w:val="1"/>
      <w:numFmt w:val="decimal"/>
      <w:lvlText w:val="%7."/>
      <w:lvlJc w:val="left"/>
      <w:pPr>
        <w:ind w:hanging="360" w:left="4680"/>
      </w:pPr>
    </w:lvl>
    <w:lvl w:ilvl="7" w:tplc="0C070019">
      <w:start w:val="1"/>
      <w:numFmt w:val="lowerLetter"/>
      <w:lvlText w:val="%8."/>
      <w:lvlJc w:val="left"/>
      <w:pPr>
        <w:ind w:hanging="360" w:left="5400"/>
      </w:pPr>
    </w:lvl>
    <w:lvl w:ilvl="8" w:tplc="0C07001B">
      <w:start w:val="1"/>
      <w:numFmt w:val="lowerRoman"/>
      <w:lvlText w:val="%9."/>
      <w:lvlJc w:val="right"/>
      <w:pPr>
        <w:ind w:hanging="180" w:left="6120"/>
      </w:pPr>
    </w:lvl>
  </w:abstractNum>
  <w:abstractNum w15:restartNumberingAfterBreak="0" w:abstractNumId="10">
    <w:nsid w:val="78175887"/>
    <w:multiLevelType w:val="hybridMultilevel"/>
    <w:tmpl w:val="EAFEA4CA"/>
    <w:lvl w:ilvl="0" w:tplc="0C070001">
      <w:start w:val="1"/>
      <w:numFmt w:val="bullet"/>
      <w:lvlText w:val=""/>
      <w:lvlJc w:val="left"/>
      <w:pPr>
        <w:ind w:hanging="360" w:left="720"/>
      </w:pPr>
      <w:rPr>
        <w:rFonts w:ascii="Symbol" w:hAnsi="Symbol" w:hint="default"/>
      </w:rPr>
    </w:lvl>
    <w:lvl w:ilvl="1" w:tentative="1" w:tplc="0C070003">
      <w:start w:val="1"/>
      <w:numFmt w:val="bullet"/>
      <w:lvlText w:val="o"/>
      <w:lvlJc w:val="left"/>
      <w:pPr>
        <w:ind w:hanging="360" w:left="1440"/>
      </w:pPr>
      <w:rPr>
        <w:rFonts w:ascii="Courier New" w:cs="Courier New" w:hAnsi="Courier New" w:hint="default"/>
      </w:rPr>
    </w:lvl>
    <w:lvl w:ilvl="2" w:tentative="1" w:tplc="0C070005">
      <w:start w:val="1"/>
      <w:numFmt w:val="bullet"/>
      <w:lvlText w:val=""/>
      <w:lvlJc w:val="left"/>
      <w:pPr>
        <w:ind w:hanging="360" w:left="2160"/>
      </w:pPr>
      <w:rPr>
        <w:rFonts w:ascii="Wingdings" w:hAnsi="Wingdings" w:hint="default"/>
      </w:rPr>
    </w:lvl>
    <w:lvl w:ilvl="3" w:tentative="1" w:tplc="0C070001">
      <w:start w:val="1"/>
      <w:numFmt w:val="bullet"/>
      <w:lvlText w:val=""/>
      <w:lvlJc w:val="left"/>
      <w:pPr>
        <w:ind w:hanging="360" w:left="2880"/>
      </w:pPr>
      <w:rPr>
        <w:rFonts w:ascii="Symbol" w:hAnsi="Symbol" w:hint="default"/>
      </w:rPr>
    </w:lvl>
    <w:lvl w:ilvl="4" w:tentative="1" w:tplc="0C070003">
      <w:start w:val="1"/>
      <w:numFmt w:val="bullet"/>
      <w:lvlText w:val="o"/>
      <w:lvlJc w:val="left"/>
      <w:pPr>
        <w:ind w:hanging="360" w:left="3600"/>
      </w:pPr>
      <w:rPr>
        <w:rFonts w:ascii="Courier New" w:cs="Courier New" w:hAnsi="Courier New" w:hint="default"/>
      </w:rPr>
    </w:lvl>
    <w:lvl w:ilvl="5" w:tentative="1" w:tplc="0C070005">
      <w:start w:val="1"/>
      <w:numFmt w:val="bullet"/>
      <w:lvlText w:val=""/>
      <w:lvlJc w:val="left"/>
      <w:pPr>
        <w:ind w:hanging="360" w:left="4320"/>
      </w:pPr>
      <w:rPr>
        <w:rFonts w:ascii="Wingdings" w:hAnsi="Wingdings" w:hint="default"/>
      </w:rPr>
    </w:lvl>
    <w:lvl w:ilvl="6" w:tentative="1" w:tplc="0C070001">
      <w:start w:val="1"/>
      <w:numFmt w:val="bullet"/>
      <w:lvlText w:val=""/>
      <w:lvlJc w:val="left"/>
      <w:pPr>
        <w:ind w:hanging="360" w:left="5040"/>
      </w:pPr>
      <w:rPr>
        <w:rFonts w:ascii="Symbol" w:hAnsi="Symbol" w:hint="default"/>
      </w:rPr>
    </w:lvl>
    <w:lvl w:ilvl="7" w:tentative="1" w:tplc="0C070003">
      <w:start w:val="1"/>
      <w:numFmt w:val="bullet"/>
      <w:lvlText w:val="o"/>
      <w:lvlJc w:val="left"/>
      <w:pPr>
        <w:ind w:hanging="360" w:left="5760"/>
      </w:pPr>
      <w:rPr>
        <w:rFonts w:ascii="Courier New" w:cs="Courier New" w:hAnsi="Courier New" w:hint="default"/>
      </w:rPr>
    </w:lvl>
    <w:lvl w:ilvl="8" w:tentative="1" w:tplc="0C070005">
      <w:start w:val="1"/>
      <w:numFmt w:val="bullet"/>
      <w:lvlText w:val=""/>
      <w:lvlJc w:val="left"/>
      <w:pPr>
        <w:ind w:hanging="360" w:left="6480"/>
      </w:pPr>
      <w:rPr>
        <w:rFonts w:ascii="Wingdings" w:hAnsi="Wingdings" w:hint="default"/>
      </w:rPr>
    </w:lvl>
  </w:abstractNum>
  <w:abstractNum w15:restartNumberingAfterBreak="0" w:abstractNumId="11">
    <w:nsid w:val="7E543B86"/>
    <w:multiLevelType w:val="hybridMultilevel"/>
    <w:tmpl w:val="8E5AA13E"/>
    <w:lvl w:ilvl="0" w:tplc="0C070001">
      <w:start w:val="1"/>
      <w:numFmt w:val="bullet"/>
      <w:lvlText w:val=""/>
      <w:lvlJc w:val="left"/>
      <w:pPr>
        <w:ind w:hanging="360" w:left="720"/>
      </w:pPr>
      <w:rPr>
        <w:rFonts w:ascii="Symbol" w:hAnsi="Symbol" w:hint="default"/>
      </w:rPr>
    </w:lvl>
    <w:lvl w:ilvl="1" w:tplc="0C070003">
      <w:start w:val="1"/>
      <w:numFmt w:val="bullet"/>
      <w:lvlText w:val="o"/>
      <w:lvlJc w:val="left"/>
      <w:pPr>
        <w:ind w:hanging="360" w:left="1440"/>
      </w:pPr>
      <w:rPr>
        <w:rFonts w:ascii="Courier New" w:cs="Courier New" w:hAnsi="Courier New" w:hint="default"/>
      </w:rPr>
    </w:lvl>
    <w:lvl w:ilvl="2" w:tplc="0C070005">
      <w:start w:val="1"/>
      <w:numFmt w:val="bullet"/>
      <w:lvlText w:val=""/>
      <w:lvlJc w:val="left"/>
      <w:pPr>
        <w:ind w:hanging="360" w:left="2160"/>
      </w:pPr>
      <w:rPr>
        <w:rFonts w:ascii="Wingdings" w:hAnsi="Wingdings" w:hint="default"/>
      </w:rPr>
    </w:lvl>
    <w:lvl w:ilvl="3" w:tplc="0C070001">
      <w:start w:val="1"/>
      <w:numFmt w:val="bullet"/>
      <w:lvlText w:val=""/>
      <w:lvlJc w:val="left"/>
      <w:pPr>
        <w:ind w:hanging="360" w:left="2880"/>
      </w:pPr>
      <w:rPr>
        <w:rFonts w:ascii="Symbol" w:hAnsi="Symbol" w:hint="default"/>
      </w:rPr>
    </w:lvl>
    <w:lvl w:ilvl="4" w:tplc="0C070003">
      <w:start w:val="1"/>
      <w:numFmt w:val="bullet"/>
      <w:lvlText w:val="o"/>
      <w:lvlJc w:val="left"/>
      <w:pPr>
        <w:ind w:hanging="360" w:left="3600"/>
      </w:pPr>
      <w:rPr>
        <w:rFonts w:ascii="Courier New" w:cs="Courier New" w:hAnsi="Courier New" w:hint="default"/>
      </w:rPr>
    </w:lvl>
    <w:lvl w:ilvl="5" w:tplc="0C070005">
      <w:start w:val="1"/>
      <w:numFmt w:val="bullet"/>
      <w:lvlText w:val=""/>
      <w:lvlJc w:val="left"/>
      <w:pPr>
        <w:ind w:hanging="360" w:left="4320"/>
      </w:pPr>
      <w:rPr>
        <w:rFonts w:ascii="Wingdings" w:hAnsi="Wingdings" w:hint="default"/>
      </w:rPr>
    </w:lvl>
    <w:lvl w:ilvl="6" w:tplc="0C070001">
      <w:start w:val="1"/>
      <w:numFmt w:val="bullet"/>
      <w:lvlText w:val=""/>
      <w:lvlJc w:val="left"/>
      <w:pPr>
        <w:ind w:hanging="360" w:left="5040"/>
      </w:pPr>
      <w:rPr>
        <w:rFonts w:ascii="Symbol" w:hAnsi="Symbol" w:hint="default"/>
      </w:rPr>
    </w:lvl>
    <w:lvl w:ilvl="7" w:tplc="0C070003">
      <w:start w:val="1"/>
      <w:numFmt w:val="bullet"/>
      <w:lvlText w:val="o"/>
      <w:lvlJc w:val="left"/>
      <w:pPr>
        <w:ind w:hanging="360" w:left="5760"/>
      </w:pPr>
      <w:rPr>
        <w:rFonts w:ascii="Courier New" w:cs="Courier New" w:hAnsi="Courier New" w:hint="default"/>
      </w:rPr>
    </w:lvl>
    <w:lvl w:ilvl="8" w:tplc="0C070005">
      <w:start w:val="1"/>
      <w:numFmt w:val="bullet"/>
      <w:lvlText w:val=""/>
      <w:lvlJc w:val="left"/>
      <w:pPr>
        <w:ind w:hanging="360" w:left="6480"/>
      </w:pPr>
      <w:rPr>
        <w:rFonts w:ascii="Wingdings" w:hAnsi="Wingding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108699699"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087995788" w:numId="2">
    <w:abstractNumId w:val="5"/>
  </w:num>
  <w:num w16cid:durableId="1678997816" w:numId="3">
    <w:abstractNumId w:val="1"/>
  </w:num>
  <w:num w16cid:durableId="317611982" w:numId="4">
    <w:abstractNumId w:val="6"/>
  </w:num>
  <w:num w16cid:durableId="1290470951" w:numId="5">
    <w:abstractNumId w:val="8"/>
  </w:num>
  <w:num w16cid:durableId="884371538" w:numId="6">
    <w:abstractNumId w:val="7"/>
  </w:num>
  <w:num w16cid:durableId="1341003424" w:numId="7">
    <w:abstractNumId w:val="11"/>
  </w:num>
  <w:num w16cid:durableId="1563709418" w:numId="8">
    <w:abstractNumId w:val="2"/>
  </w:num>
  <w:num w16cid:durableId="818964236" w:numId="9">
    <w:abstractNumId w:val="0"/>
  </w:num>
  <w:num w16cid:durableId="648707657" w:numId="10">
    <w:abstractNumId w:val="10"/>
  </w:num>
  <w:num w16cid:durableId="865946987" w:numId="11">
    <w:abstractNumId w:val="3"/>
  </w:num>
  <w:num w16cid:durableId="1506901937" w:numId="12">
    <w:abstractNumId w:val="4"/>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0"/>
  <w:embedSystemFonts/>
  <w:proofState w:grammar="clean" w:spelling="clean"/>
  <w:stylePaneFormatFilter w:val="0004"/>
  <w:doNotTrackMoves/>
  <w:defaultTabStop w:val="708"/>
  <w:hyphenationZone w:val="425"/>
  <w:defaultTableStyle w:val="Table"/>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E81"/>
    <w:rsid w:val="000033FD"/>
    <w:rsid w:val="000148B4"/>
    <w:rsid w:val="000155CD"/>
    <w:rsid w:val="0002543D"/>
    <w:rsid w:val="00026358"/>
    <w:rsid w:val="000272CA"/>
    <w:rsid w:val="000275B2"/>
    <w:rsid w:val="00027EB8"/>
    <w:rsid w:val="000318D5"/>
    <w:rsid w:val="00032F2C"/>
    <w:rsid w:val="00044D16"/>
    <w:rsid w:val="000460EF"/>
    <w:rsid w:val="000468EB"/>
    <w:rsid w:val="0004704C"/>
    <w:rsid w:val="000615CE"/>
    <w:rsid w:val="00062F21"/>
    <w:rsid w:val="000648D8"/>
    <w:rsid w:val="00070B6F"/>
    <w:rsid w:val="0007133D"/>
    <w:rsid w:val="0008159F"/>
    <w:rsid w:val="00082932"/>
    <w:rsid w:val="000873BD"/>
    <w:rsid w:val="000904FA"/>
    <w:rsid w:val="00093E27"/>
    <w:rsid w:val="000A371F"/>
    <w:rsid w:val="000A5D13"/>
    <w:rsid w:val="000B217A"/>
    <w:rsid w:val="000B29DF"/>
    <w:rsid w:val="000B4207"/>
    <w:rsid w:val="000C4C21"/>
    <w:rsid w:val="000D5593"/>
    <w:rsid w:val="000E47C5"/>
    <w:rsid w:val="000E76D5"/>
    <w:rsid w:val="000F103D"/>
    <w:rsid w:val="000F5D88"/>
    <w:rsid w:val="000F72D3"/>
    <w:rsid w:val="00100AEA"/>
    <w:rsid w:val="00101295"/>
    <w:rsid w:val="00101328"/>
    <w:rsid w:val="001018C3"/>
    <w:rsid w:val="00113A46"/>
    <w:rsid w:val="00116633"/>
    <w:rsid w:val="0011791B"/>
    <w:rsid w:val="001221B2"/>
    <w:rsid w:val="00124D1A"/>
    <w:rsid w:val="00125FA0"/>
    <w:rsid w:val="00126AD6"/>
    <w:rsid w:val="00127510"/>
    <w:rsid w:val="00136AF6"/>
    <w:rsid w:val="00142FBE"/>
    <w:rsid w:val="001473EF"/>
    <w:rsid w:val="00151408"/>
    <w:rsid w:val="001551EF"/>
    <w:rsid w:val="0016074B"/>
    <w:rsid w:val="00163003"/>
    <w:rsid w:val="0016363E"/>
    <w:rsid w:val="00170265"/>
    <w:rsid w:val="00174818"/>
    <w:rsid w:val="00174E78"/>
    <w:rsid w:val="001769F8"/>
    <w:rsid w:val="001772DD"/>
    <w:rsid w:val="0019359C"/>
    <w:rsid w:val="001936F7"/>
    <w:rsid w:val="001943B0"/>
    <w:rsid w:val="00196CDE"/>
    <w:rsid w:val="001A4558"/>
    <w:rsid w:val="001A46B4"/>
    <w:rsid w:val="001B1CC0"/>
    <w:rsid w:val="001C70E2"/>
    <w:rsid w:val="001D12B9"/>
    <w:rsid w:val="001E0257"/>
    <w:rsid w:val="001E0270"/>
    <w:rsid w:val="001E11D5"/>
    <w:rsid w:val="001E1BA8"/>
    <w:rsid w:val="001E1F05"/>
    <w:rsid w:val="001E2003"/>
    <w:rsid w:val="001E54DD"/>
    <w:rsid w:val="001E6657"/>
    <w:rsid w:val="001F5ACC"/>
    <w:rsid w:val="00200BA0"/>
    <w:rsid w:val="00201EFD"/>
    <w:rsid w:val="0021077D"/>
    <w:rsid w:val="00212D00"/>
    <w:rsid w:val="00215FD6"/>
    <w:rsid w:val="00220ADC"/>
    <w:rsid w:val="00220DF3"/>
    <w:rsid w:val="002219F2"/>
    <w:rsid w:val="002231F3"/>
    <w:rsid w:val="0022451A"/>
    <w:rsid w:val="00227EE2"/>
    <w:rsid w:val="002457D3"/>
    <w:rsid w:val="00246EE1"/>
    <w:rsid w:val="00250115"/>
    <w:rsid w:val="002530C0"/>
    <w:rsid w:val="0025658F"/>
    <w:rsid w:val="00256F6A"/>
    <w:rsid w:val="00264CEF"/>
    <w:rsid w:val="002676AC"/>
    <w:rsid w:val="0027109D"/>
    <w:rsid w:val="00272195"/>
    <w:rsid w:val="0027470D"/>
    <w:rsid w:val="002804F6"/>
    <w:rsid w:val="00283F68"/>
    <w:rsid w:val="00286376"/>
    <w:rsid w:val="00294898"/>
    <w:rsid w:val="00296CFE"/>
    <w:rsid w:val="00297F31"/>
    <w:rsid w:val="002A1F0D"/>
    <w:rsid w:val="002B0507"/>
    <w:rsid w:val="002B1E4E"/>
    <w:rsid w:val="002B1E50"/>
    <w:rsid w:val="002B4B02"/>
    <w:rsid w:val="002C2F61"/>
    <w:rsid w:val="002C3DF2"/>
    <w:rsid w:val="002D05E4"/>
    <w:rsid w:val="002D39B2"/>
    <w:rsid w:val="002D4003"/>
    <w:rsid w:val="002D4E10"/>
    <w:rsid w:val="002E0742"/>
    <w:rsid w:val="002F03C1"/>
    <w:rsid w:val="002F57D8"/>
    <w:rsid w:val="002F7D2F"/>
    <w:rsid w:val="003113C7"/>
    <w:rsid w:val="003276AF"/>
    <w:rsid w:val="0033224A"/>
    <w:rsid w:val="00334ED5"/>
    <w:rsid w:val="00336791"/>
    <w:rsid w:val="00342CF6"/>
    <w:rsid w:val="00344742"/>
    <w:rsid w:val="00351E92"/>
    <w:rsid w:val="00363034"/>
    <w:rsid w:val="00363A2F"/>
    <w:rsid w:val="003647F3"/>
    <w:rsid w:val="00366B4A"/>
    <w:rsid w:val="00366D79"/>
    <w:rsid w:val="00370130"/>
    <w:rsid w:val="00374270"/>
    <w:rsid w:val="00375D37"/>
    <w:rsid w:val="003776E1"/>
    <w:rsid w:val="00380E81"/>
    <w:rsid w:val="003840F9"/>
    <w:rsid w:val="003920B9"/>
    <w:rsid w:val="003A15BE"/>
    <w:rsid w:val="003A1AC4"/>
    <w:rsid w:val="003A776C"/>
    <w:rsid w:val="003B7FA1"/>
    <w:rsid w:val="003C452F"/>
    <w:rsid w:val="003C593B"/>
    <w:rsid w:val="003C6566"/>
    <w:rsid w:val="003D65ED"/>
    <w:rsid w:val="003E1E24"/>
    <w:rsid w:val="003E38B4"/>
    <w:rsid w:val="003E5CB8"/>
    <w:rsid w:val="003F1305"/>
    <w:rsid w:val="003F463B"/>
    <w:rsid w:val="00401B01"/>
    <w:rsid w:val="004023DB"/>
    <w:rsid w:val="004101A4"/>
    <w:rsid w:val="00413A4A"/>
    <w:rsid w:val="004165ED"/>
    <w:rsid w:val="00441EEB"/>
    <w:rsid w:val="00443431"/>
    <w:rsid w:val="0044580B"/>
    <w:rsid w:val="00463308"/>
    <w:rsid w:val="00463F04"/>
    <w:rsid w:val="00465491"/>
    <w:rsid w:val="00474723"/>
    <w:rsid w:val="00476926"/>
    <w:rsid w:val="004867DD"/>
    <w:rsid w:val="004A4ED3"/>
    <w:rsid w:val="004A79B3"/>
    <w:rsid w:val="004B4645"/>
    <w:rsid w:val="004B57E9"/>
    <w:rsid w:val="004C2997"/>
    <w:rsid w:val="004D0CAB"/>
    <w:rsid w:val="004D1C28"/>
    <w:rsid w:val="004D28E3"/>
    <w:rsid w:val="004D6743"/>
    <w:rsid w:val="004E5352"/>
    <w:rsid w:val="004E717A"/>
    <w:rsid w:val="004F1B5D"/>
    <w:rsid w:val="004F772F"/>
    <w:rsid w:val="00500A5A"/>
    <w:rsid w:val="00502B2D"/>
    <w:rsid w:val="00504207"/>
    <w:rsid w:val="00511F56"/>
    <w:rsid w:val="00513702"/>
    <w:rsid w:val="00526679"/>
    <w:rsid w:val="0053402B"/>
    <w:rsid w:val="005418D3"/>
    <w:rsid w:val="00544C29"/>
    <w:rsid w:val="00547506"/>
    <w:rsid w:val="00551675"/>
    <w:rsid w:val="0055771C"/>
    <w:rsid w:val="00557DC9"/>
    <w:rsid w:val="00560F2B"/>
    <w:rsid w:val="00564E4E"/>
    <w:rsid w:val="0056600F"/>
    <w:rsid w:val="005726BB"/>
    <w:rsid w:val="0058370E"/>
    <w:rsid w:val="00584BC9"/>
    <w:rsid w:val="00586C65"/>
    <w:rsid w:val="00592BF7"/>
    <w:rsid w:val="00594293"/>
    <w:rsid w:val="00595E75"/>
    <w:rsid w:val="005A4253"/>
    <w:rsid w:val="005A75DB"/>
    <w:rsid w:val="005C0CC3"/>
    <w:rsid w:val="005C0DAD"/>
    <w:rsid w:val="005C10ED"/>
    <w:rsid w:val="005C24F1"/>
    <w:rsid w:val="005C2926"/>
    <w:rsid w:val="005C6B60"/>
    <w:rsid w:val="005D34ED"/>
    <w:rsid w:val="005E0E75"/>
    <w:rsid w:val="005E601D"/>
    <w:rsid w:val="005F5D07"/>
    <w:rsid w:val="00601F73"/>
    <w:rsid w:val="00602991"/>
    <w:rsid w:val="00602BB9"/>
    <w:rsid w:val="00604581"/>
    <w:rsid w:val="00604F17"/>
    <w:rsid w:val="0061089C"/>
    <w:rsid w:val="00615446"/>
    <w:rsid w:val="0061612A"/>
    <w:rsid w:val="0062037A"/>
    <w:rsid w:val="006228C1"/>
    <w:rsid w:val="00624961"/>
    <w:rsid w:val="00632F28"/>
    <w:rsid w:val="0063450F"/>
    <w:rsid w:val="006404DE"/>
    <w:rsid w:val="006418EC"/>
    <w:rsid w:val="006438DF"/>
    <w:rsid w:val="006441BC"/>
    <w:rsid w:val="0064686D"/>
    <w:rsid w:val="0064729A"/>
    <w:rsid w:val="006553C6"/>
    <w:rsid w:val="00655DA4"/>
    <w:rsid w:val="006566C0"/>
    <w:rsid w:val="006578EF"/>
    <w:rsid w:val="00657ABD"/>
    <w:rsid w:val="00661429"/>
    <w:rsid w:val="00665E86"/>
    <w:rsid w:val="00667BA1"/>
    <w:rsid w:val="00670F89"/>
    <w:rsid w:val="00677869"/>
    <w:rsid w:val="00682A18"/>
    <w:rsid w:val="00685E08"/>
    <w:rsid w:val="00694249"/>
    <w:rsid w:val="006962C0"/>
    <w:rsid w:val="006A0010"/>
    <w:rsid w:val="006B41E7"/>
    <w:rsid w:val="006B5779"/>
    <w:rsid w:val="006B6A5A"/>
    <w:rsid w:val="006C389E"/>
    <w:rsid w:val="006D1132"/>
    <w:rsid w:val="006D7E0E"/>
    <w:rsid w:val="006E0983"/>
    <w:rsid w:val="006E3DA7"/>
    <w:rsid w:val="006E4294"/>
    <w:rsid w:val="00702848"/>
    <w:rsid w:val="0071436E"/>
    <w:rsid w:val="00717B24"/>
    <w:rsid w:val="0072183A"/>
    <w:rsid w:val="00722BEE"/>
    <w:rsid w:val="007260F1"/>
    <w:rsid w:val="007262F6"/>
    <w:rsid w:val="00727B2B"/>
    <w:rsid w:val="00743B22"/>
    <w:rsid w:val="00747320"/>
    <w:rsid w:val="00747818"/>
    <w:rsid w:val="00764545"/>
    <w:rsid w:val="007705D5"/>
    <w:rsid w:val="00777A57"/>
    <w:rsid w:val="007834C1"/>
    <w:rsid w:val="00784B7A"/>
    <w:rsid w:val="007862D1"/>
    <w:rsid w:val="007A031D"/>
    <w:rsid w:val="007A0F25"/>
    <w:rsid w:val="007A1D8D"/>
    <w:rsid w:val="007A4E4B"/>
    <w:rsid w:val="007A53D1"/>
    <w:rsid w:val="007A6D71"/>
    <w:rsid w:val="007A7470"/>
    <w:rsid w:val="007B5C23"/>
    <w:rsid w:val="007B7AEB"/>
    <w:rsid w:val="007C1325"/>
    <w:rsid w:val="007C63F4"/>
    <w:rsid w:val="007C7768"/>
    <w:rsid w:val="007C7B79"/>
    <w:rsid w:val="007D28F6"/>
    <w:rsid w:val="007D66B5"/>
    <w:rsid w:val="00806F3C"/>
    <w:rsid w:val="00810BE1"/>
    <w:rsid w:val="00811EA8"/>
    <w:rsid w:val="0081511D"/>
    <w:rsid w:val="0081550F"/>
    <w:rsid w:val="008159AC"/>
    <w:rsid w:val="0082358C"/>
    <w:rsid w:val="00830C98"/>
    <w:rsid w:val="00840032"/>
    <w:rsid w:val="00841572"/>
    <w:rsid w:val="00845770"/>
    <w:rsid w:val="00855C46"/>
    <w:rsid w:val="00855FD6"/>
    <w:rsid w:val="0085730E"/>
    <w:rsid w:val="00865354"/>
    <w:rsid w:val="00871716"/>
    <w:rsid w:val="00881EA5"/>
    <w:rsid w:val="008831E8"/>
    <w:rsid w:val="00896A52"/>
    <w:rsid w:val="008A1598"/>
    <w:rsid w:val="008B43B4"/>
    <w:rsid w:val="008B70F3"/>
    <w:rsid w:val="008C1320"/>
    <w:rsid w:val="008C4AD2"/>
    <w:rsid w:val="008C6B52"/>
    <w:rsid w:val="008D25AF"/>
    <w:rsid w:val="008E3744"/>
    <w:rsid w:val="008F2389"/>
    <w:rsid w:val="008F74CB"/>
    <w:rsid w:val="009003AE"/>
    <w:rsid w:val="00912F12"/>
    <w:rsid w:val="0093190E"/>
    <w:rsid w:val="00936733"/>
    <w:rsid w:val="009531B9"/>
    <w:rsid w:val="00954C96"/>
    <w:rsid w:val="00954E66"/>
    <w:rsid w:val="00961E03"/>
    <w:rsid w:val="009725B6"/>
    <w:rsid w:val="0098347D"/>
    <w:rsid w:val="00984921"/>
    <w:rsid w:val="00992270"/>
    <w:rsid w:val="0099238F"/>
    <w:rsid w:val="00992566"/>
    <w:rsid w:val="009A1D0F"/>
    <w:rsid w:val="009A1D69"/>
    <w:rsid w:val="009A2079"/>
    <w:rsid w:val="009A2B7B"/>
    <w:rsid w:val="009A3934"/>
    <w:rsid w:val="009A5814"/>
    <w:rsid w:val="009A6625"/>
    <w:rsid w:val="009B1218"/>
    <w:rsid w:val="009C00E6"/>
    <w:rsid w:val="009C2314"/>
    <w:rsid w:val="009D0CA7"/>
    <w:rsid w:val="009D2C7D"/>
    <w:rsid w:val="009E1F1C"/>
    <w:rsid w:val="009E1F93"/>
    <w:rsid w:val="009E5686"/>
    <w:rsid w:val="009E7574"/>
    <w:rsid w:val="009F3D45"/>
    <w:rsid w:val="009F50A6"/>
    <w:rsid w:val="009F5CBD"/>
    <w:rsid w:val="009F7309"/>
    <w:rsid w:val="009F7B4E"/>
    <w:rsid w:val="009F7F43"/>
    <w:rsid w:val="00A01DA3"/>
    <w:rsid w:val="00A037ED"/>
    <w:rsid w:val="00A1073A"/>
    <w:rsid w:val="00A12AD6"/>
    <w:rsid w:val="00A13D79"/>
    <w:rsid w:val="00A13F0E"/>
    <w:rsid w:val="00A30E78"/>
    <w:rsid w:val="00A31FA9"/>
    <w:rsid w:val="00A363E6"/>
    <w:rsid w:val="00A41909"/>
    <w:rsid w:val="00A44149"/>
    <w:rsid w:val="00A502F2"/>
    <w:rsid w:val="00A50CD7"/>
    <w:rsid w:val="00A55F01"/>
    <w:rsid w:val="00A61266"/>
    <w:rsid w:val="00A636EE"/>
    <w:rsid w:val="00A72B06"/>
    <w:rsid w:val="00A7689C"/>
    <w:rsid w:val="00A8271A"/>
    <w:rsid w:val="00A82FC3"/>
    <w:rsid w:val="00A902EA"/>
    <w:rsid w:val="00A914C4"/>
    <w:rsid w:val="00A92232"/>
    <w:rsid w:val="00A95C8B"/>
    <w:rsid w:val="00A95D6E"/>
    <w:rsid w:val="00AA2F17"/>
    <w:rsid w:val="00AB111D"/>
    <w:rsid w:val="00AB37DD"/>
    <w:rsid w:val="00AB55C3"/>
    <w:rsid w:val="00AB5634"/>
    <w:rsid w:val="00AB6F1C"/>
    <w:rsid w:val="00AC4FD7"/>
    <w:rsid w:val="00AC667E"/>
    <w:rsid w:val="00AD6462"/>
    <w:rsid w:val="00AD7047"/>
    <w:rsid w:val="00AE142E"/>
    <w:rsid w:val="00AF0E6B"/>
    <w:rsid w:val="00AF16B8"/>
    <w:rsid w:val="00AF2212"/>
    <w:rsid w:val="00AF361A"/>
    <w:rsid w:val="00AF4C7B"/>
    <w:rsid w:val="00AF4F13"/>
    <w:rsid w:val="00AF5732"/>
    <w:rsid w:val="00AF6607"/>
    <w:rsid w:val="00AF7275"/>
    <w:rsid w:val="00B03B5E"/>
    <w:rsid w:val="00B13CBA"/>
    <w:rsid w:val="00B16D70"/>
    <w:rsid w:val="00B17F7A"/>
    <w:rsid w:val="00B251E3"/>
    <w:rsid w:val="00B3250D"/>
    <w:rsid w:val="00B47CD7"/>
    <w:rsid w:val="00B62DFE"/>
    <w:rsid w:val="00B6587D"/>
    <w:rsid w:val="00B66B5E"/>
    <w:rsid w:val="00B70AB9"/>
    <w:rsid w:val="00B776BF"/>
    <w:rsid w:val="00B80BC8"/>
    <w:rsid w:val="00B80FE3"/>
    <w:rsid w:val="00B94A07"/>
    <w:rsid w:val="00B94CF2"/>
    <w:rsid w:val="00B96887"/>
    <w:rsid w:val="00BA5EF9"/>
    <w:rsid w:val="00BB113B"/>
    <w:rsid w:val="00BB3423"/>
    <w:rsid w:val="00BB3694"/>
    <w:rsid w:val="00BB4C56"/>
    <w:rsid w:val="00BB561B"/>
    <w:rsid w:val="00BC3299"/>
    <w:rsid w:val="00BC664F"/>
    <w:rsid w:val="00BD0DD2"/>
    <w:rsid w:val="00BD78D3"/>
    <w:rsid w:val="00BE00B1"/>
    <w:rsid w:val="00BE21D0"/>
    <w:rsid w:val="00BE7882"/>
    <w:rsid w:val="00BE7A78"/>
    <w:rsid w:val="00BF222E"/>
    <w:rsid w:val="00BF546C"/>
    <w:rsid w:val="00C02746"/>
    <w:rsid w:val="00C054E8"/>
    <w:rsid w:val="00C145B5"/>
    <w:rsid w:val="00C14C10"/>
    <w:rsid w:val="00C14CF2"/>
    <w:rsid w:val="00C151D1"/>
    <w:rsid w:val="00C15489"/>
    <w:rsid w:val="00C2552A"/>
    <w:rsid w:val="00C264CC"/>
    <w:rsid w:val="00C276C2"/>
    <w:rsid w:val="00C3058D"/>
    <w:rsid w:val="00C33D01"/>
    <w:rsid w:val="00C34415"/>
    <w:rsid w:val="00C37EE5"/>
    <w:rsid w:val="00C47918"/>
    <w:rsid w:val="00C67E11"/>
    <w:rsid w:val="00C735F6"/>
    <w:rsid w:val="00C74396"/>
    <w:rsid w:val="00C7512B"/>
    <w:rsid w:val="00C76116"/>
    <w:rsid w:val="00C76CA5"/>
    <w:rsid w:val="00C817B0"/>
    <w:rsid w:val="00C84992"/>
    <w:rsid w:val="00C849AA"/>
    <w:rsid w:val="00C91CE5"/>
    <w:rsid w:val="00C92A94"/>
    <w:rsid w:val="00C97ECD"/>
    <w:rsid w:val="00CA0671"/>
    <w:rsid w:val="00CA367C"/>
    <w:rsid w:val="00CA4621"/>
    <w:rsid w:val="00CB0AF2"/>
    <w:rsid w:val="00CB3D53"/>
    <w:rsid w:val="00CB4096"/>
    <w:rsid w:val="00CC2B90"/>
    <w:rsid w:val="00CC51B2"/>
    <w:rsid w:val="00CC6484"/>
    <w:rsid w:val="00CC6A78"/>
    <w:rsid w:val="00CD50A7"/>
    <w:rsid w:val="00CF2182"/>
    <w:rsid w:val="00CF3BDC"/>
    <w:rsid w:val="00D03490"/>
    <w:rsid w:val="00D04913"/>
    <w:rsid w:val="00D114F2"/>
    <w:rsid w:val="00D11D13"/>
    <w:rsid w:val="00D23A05"/>
    <w:rsid w:val="00D2411C"/>
    <w:rsid w:val="00D244C1"/>
    <w:rsid w:val="00D245A7"/>
    <w:rsid w:val="00D3037E"/>
    <w:rsid w:val="00D30392"/>
    <w:rsid w:val="00D31537"/>
    <w:rsid w:val="00D31B99"/>
    <w:rsid w:val="00D363F6"/>
    <w:rsid w:val="00D412AD"/>
    <w:rsid w:val="00D55EEF"/>
    <w:rsid w:val="00D5682F"/>
    <w:rsid w:val="00D6200C"/>
    <w:rsid w:val="00D64ACE"/>
    <w:rsid w:val="00D65D4B"/>
    <w:rsid w:val="00D77A33"/>
    <w:rsid w:val="00D80130"/>
    <w:rsid w:val="00D811F7"/>
    <w:rsid w:val="00D829C5"/>
    <w:rsid w:val="00D8640B"/>
    <w:rsid w:val="00D8655A"/>
    <w:rsid w:val="00D930A4"/>
    <w:rsid w:val="00D96F76"/>
    <w:rsid w:val="00DA27AF"/>
    <w:rsid w:val="00DA3D3A"/>
    <w:rsid w:val="00DA7223"/>
    <w:rsid w:val="00DB036F"/>
    <w:rsid w:val="00DB1342"/>
    <w:rsid w:val="00DB6D39"/>
    <w:rsid w:val="00DC2FD0"/>
    <w:rsid w:val="00DC43C5"/>
    <w:rsid w:val="00DC72DB"/>
    <w:rsid w:val="00DC7A3E"/>
    <w:rsid w:val="00DD551D"/>
    <w:rsid w:val="00DE40A6"/>
    <w:rsid w:val="00DE6B83"/>
    <w:rsid w:val="00DE6F05"/>
    <w:rsid w:val="00DE6F9C"/>
    <w:rsid w:val="00DF0953"/>
    <w:rsid w:val="00DF21C1"/>
    <w:rsid w:val="00DF27FB"/>
    <w:rsid w:val="00DF3B4F"/>
    <w:rsid w:val="00DF64AD"/>
    <w:rsid w:val="00DF6739"/>
    <w:rsid w:val="00E04216"/>
    <w:rsid w:val="00E07D85"/>
    <w:rsid w:val="00E102E6"/>
    <w:rsid w:val="00E1261B"/>
    <w:rsid w:val="00E12F75"/>
    <w:rsid w:val="00E13D5D"/>
    <w:rsid w:val="00E1407A"/>
    <w:rsid w:val="00E15FC1"/>
    <w:rsid w:val="00E211F1"/>
    <w:rsid w:val="00E245A5"/>
    <w:rsid w:val="00E2571D"/>
    <w:rsid w:val="00E265C5"/>
    <w:rsid w:val="00E268E9"/>
    <w:rsid w:val="00E27DAE"/>
    <w:rsid w:val="00E31447"/>
    <w:rsid w:val="00E3555D"/>
    <w:rsid w:val="00E35961"/>
    <w:rsid w:val="00E4783F"/>
    <w:rsid w:val="00E5168F"/>
    <w:rsid w:val="00E53C4C"/>
    <w:rsid w:val="00E603E7"/>
    <w:rsid w:val="00E60481"/>
    <w:rsid w:val="00E6556B"/>
    <w:rsid w:val="00E84523"/>
    <w:rsid w:val="00EA0CE0"/>
    <w:rsid w:val="00EA5031"/>
    <w:rsid w:val="00EC1816"/>
    <w:rsid w:val="00ED564E"/>
    <w:rsid w:val="00ED6D49"/>
    <w:rsid w:val="00EE1D0A"/>
    <w:rsid w:val="00EE25F0"/>
    <w:rsid w:val="00EE3026"/>
    <w:rsid w:val="00EF292B"/>
    <w:rsid w:val="00EF7B0F"/>
    <w:rsid w:val="00F006A8"/>
    <w:rsid w:val="00F03ED7"/>
    <w:rsid w:val="00F05C65"/>
    <w:rsid w:val="00F11625"/>
    <w:rsid w:val="00F146A2"/>
    <w:rsid w:val="00F15B02"/>
    <w:rsid w:val="00F205AA"/>
    <w:rsid w:val="00F205C9"/>
    <w:rsid w:val="00F2377F"/>
    <w:rsid w:val="00F30621"/>
    <w:rsid w:val="00F324FC"/>
    <w:rsid w:val="00F3459F"/>
    <w:rsid w:val="00F35381"/>
    <w:rsid w:val="00F44412"/>
    <w:rsid w:val="00F45864"/>
    <w:rsid w:val="00F47F11"/>
    <w:rsid w:val="00F51CA3"/>
    <w:rsid w:val="00F52EB6"/>
    <w:rsid w:val="00F537BB"/>
    <w:rsid w:val="00F60B99"/>
    <w:rsid w:val="00F75920"/>
    <w:rsid w:val="00F81C03"/>
    <w:rsid w:val="00F82EFC"/>
    <w:rsid w:val="00F93F4F"/>
    <w:rsid w:val="00F94EA4"/>
    <w:rsid w:val="00FA6E06"/>
    <w:rsid w:val="00FB220F"/>
    <w:rsid w:val="00FB7229"/>
    <w:rsid w:val="00FC1C16"/>
    <w:rsid w:val="00FC5F7A"/>
    <w:rsid w:val="00FD1E3D"/>
    <w:rsid w:val="00FD2357"/>
    <w:rsid w:val="00FD4130"/>
    <w:rsid w:val="00FD4D2E"/>
    <w:rsid w:val="00FD5526"/>
    <w:rsid w:val="00FD5A1A"/>
    <w:rsid w:val="00FD5DF8"/>
    <w:rsid w:val="00FE189E"/>
    <w:rsid w:val="00FE6A73"/>
    <w:rsid w:val="00FF60B7"/>
  </w:rsids>
  <w:themeFontLang w:eastAsia="zh-CN" w:val="de-DE"/>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2"/>
        <w:szCs w:val="22"/>
        <w:lang w:bidi="ar-SA" w:eastAsia="en-US" w:val="de-DE"/>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uiPriority="9"/>
    <w:lsdException w:name="heading 3" w:qFormat="1" w:uiPriority="9"/>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94EA4"/>
    <w:pPr>
      <w:spacing w:after="0" w:line="360" w:lineRule="auto"/>
    </w:pPr>
    <w:rPr>
      <w:rFonts w:ascii="Segoe UI" w:hAnsi="Segoe UI"/>
    </w:rPr>
  </w:style>
  <w:style w:styleId="Heading1" w:type="paragraph">
    <w:name w:val="heading 1"/>
    <w:basedOn w:val="Normal"/>
    <w:next w:val="Normal"/>
    <w:link w:val="Heading1Char"/>
    <w:uiPriority w:val="9"/>
    <w:qFormat/>
    <w:rsid w:val="008D25AF"/>
    <w:pPr>
      <w:tabs>
        <w:tab w:pos="1280" w:val="left"/>
        <w:tab w:pos="4536" w:val="center"/>
      </w:tabs>
      <w:spacing w:after="240" w:before="240" w:line="240" w:lineRule="auto"/>
      <w:outlineLvl w:val="0"/>
    </w:pPr>
    <w:rPr>
      <w:rFonts w:cs="Segoe UI"/>
      <w:b/>
      <w:bCs/>
      <w:sz w:val="36"/>
      <w:szCs w:val="36"/>
    </w:rPr>
  </w:style>
  <w:style w:styleId="Heading2" w:type="paragraph">
    <w:name w:val="heading 2"/>
    <w:basedOn w:val="Normal"/>
    <w:next w:val="Normal"/>
    <w:link w:val="Heading2Char"/>
    <w:uiPriority w:val="9"/>
    <w:qFormat/>
    <w:rsid w:val="008D25AF"/>
    <w:pPr>
      <w:tabs>
        <w:tab w:pos="1280" w:val="left"/>
        <w:tab w:pos="4536" w:val="center"/>
      </w:tabs>
      <w:spacing w:after="240" w:before="240" w:line="276" w:lineRule="auto"/>
      <w:outlineLvl w:val="1"/>
    </w:pPr>
    <w:rPr>
      <w:rFonts w:cs="Segoe UI"/>
      <w:b/>
      <w:bCs/>
      <w:sz w:val="24"/>
      <w:szCs w:val="24"/>
    </w:rPr>
  </w:style>
  <w:style w:styleId="Heading3" w:type="paragraph">
    <w:name w:val="heading 3"/>
    <w:basedOn w:val="Subheadingstyle"/>
    <w:next w:val="Normal"/>
    <w:link w:val="Heading3Char"/>
    <w:uiPriority w:val="9"/>
    <w:qFormat/>
    <w:rsid w:val="0062037A"/>
    <w:pPr>
      <w:outlineLvl w:val="2"/>
    </w:p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D25AF"/>
    <w:rPr>
      <w:rFonts w:ascii="Segoe UI" w:cs="Segoe UI" w:hAnsi="Segoe UI"/>
      <w:b/>
      <w:bCs/>
      <w:sz w:val="36"/>
      <w:szCs w:val="36"/>
    </w:rPr>
  </w:style>
  <w:style w:styleId="Header" w:type="paragraph">
    <w:name w:val="header"/>
    <w:basedOn w:val="Normal"/>
    <w:link w:val="HeaderChar"/>
    <w:uiPriority w:val="99"/>
    <w:unhideWhenUsed/>
    <w:rsid w:val="00380E81"/>
    <w:pPr>
      <w:tabs>
        <w:tab w:pos="4536" w:val="center"/>
        <w:tab w:pos="9072" w:val="right"/>
      </w:tabs>
    </w:pPr>
  </w:style>
  <w:style w:customStyle="1" w:styleId="HeaderChar" w:type="character">
    <w:name w:val="Header Char"/>
    <w:basedOn w:val="DefaultParagraphFont"/>
    <w:link w:val="Header"/>
    <w:uiPriority w:val="99"/>
    <w:rsid w:val="00380E81"/>
  </w:style>
  <w:style w:styleId="Footer" w:type="paragraph">
    <w:name w:val="footer"/>
    <w:basedOn w:val="Normal"/>
    <w:link w:val="FooterChar"/>
    <w:uiPriority w:val="99"/>
    <w:unhideWhenUsed/>
    <w:rsid w:val="00380E81"/>
    <w:pPr>
      <w:tabs>
        <w:tab w:pos="4536" w:val="center"/>
        <w:tab w:pos="9072" w:val="right"/>
      </w:tabs>
    </w:pPr>
  </w:style>
  <w:style w:customStyle="1" w:styleId="FooterChar" w:type="character">
    <w:name w:val="Footer Char"/>
    <w:basedOn w:val="DefaultParagraphFont"/>
    <w:link w:val="Footer"/>
    <w:uiPriority w:val="99"/>
    <w:rsid w:val="00380E81"/>
  </w:style>
  <w:style w:styleId="ListParagraph" w:type="paragraph">
    <w:name w:val="List Paragraph"/>
    <w:basedOn w:val="Normal"/>
    <w:link w:val="ListParagraphChar"/>
    <w:uiPriority w:val="34"/>
    <w:qFormat/>
    <w:rsid w:val="00380E81"/>
    <w:pPr>
      <w:ind w:left="720"/>
      <w:contextualSpacing/>
    </w:pPr>
  </w:style>
  <w:style w:styleId="Hyperlink" w:type="character">
    <w:name w:val="Hyperlink"/>
    <w:basedOn w:val="DefaultParagraphFont"/>
    <w:uiPriority w:val="99"/>
    <w:unhideWhenUsed/>
    <w:rsid w:val="00380E81"/>
    <w:rPr>
      <w:strike w:val="0"/>
      <w:dstrike w:val="0"/>
      <w:color w:val="990000"/>
      <w:u w:val="none"/>
      <w:effect w:val="none"/>
    </w:rPr>
  </w:style>
  <w:style w:styleId="BalloonText" w:type="paragraph">
    <w:name w:val="Balloon Text"/>
    <w:basedOn w:val="Normal"/>
    <w:link w:val="BalloonTextChar"/>
    <w:uiPriority w:val="99"/>
    <w:semiHidden/>
    <w:unhideWhenUsed/>
    <w:rsid w:val="00DB6D39"/>
    <w:rPr>
      <w:rFonts w:cs="Segoe UI"/>
      <w:sz w:val="18"/>
      <w:szCs w:val="18"/>
    </w:rPr>
  </w:style>
  <w:style w:customStyle="1" w:styleId="BalloonTextChar" w:type="character">
    <w:name w:val="Balloon Text Char"/>
    <w:basedOn w:val="DefaultParagraphFont"/>
    <w:link w:val="BalloonText"/>
    <w:uiPriority w:val="99"/>
    <w:semiHidden/>
    <w:rsid w:val="00DB6D39"/>
    <w:rPr>
      <w:rFonts w:ascii="Segoe UI" w:cs="Segoe UI" w:hAnsi="Segoe UI"/>
      <w:sz w:val="18"/>
      <w:szCs w:val="18"/>
    </w:rPr>
  </w:style>
  <w:style w:customStyle="1" w:styleId="Heading3Char" w:type="character">
    <w:name w:val="Heading 3 Char"/>
    <w:basedOn w:val="DefaultParagraphFont"/>
    <w:link w:val="Heading3"/>
    <w:uiPriority w:val="9"/>
    <w:rsid w:val="0062037A"/>
    <w:rPr>
      <w:rFonts w:ascii="Segoe UI" w:cs="Segoe UI" w:hAnsi="Segoe UI"/>
      <w:b/>
      <w:bCs/>
      <w:szCs w:val="24"/>
      <w:shd w:color="auto" w:fill="D9D9D9" w:themeFill="background1" w:themeFillShade="D9" w:val="clear"/>
    </w:rPr>
  </w:style>
  <w:style w:styleId="TableGrid" w:type="table">
    <w:name w:val="Table Grid"/>
    <w:basedOn w:val="TableNormal"/>
    <w:uiPriority w:val="59"/>
    <w:rsid w:val="006B6A5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Titlestyle" w:type="paragraph">
    <w:name w:val="Title_style"/>
    <w:basedOn w:val="Normal"/>
    <w:link w:val="TitlestyleChar"/>
    <w:rsid w:val="002457D3"/>
    <w:pPr>
      <w:tabs>
        <w:tab w:pos="1280" w:val="left"/>
        <w:tab w:pos="4536" w:val="center"/>
      </w:tabs>
      <w:spacing w:before="240" w:line="240" w:lineRule="auto"/>
      <w:jc w:val="center"/>
    </w:pPr>
    <w:rPr>
      <w:rFonts w:cs="Segoe UI"/>
      <w:b/>
      <w:bCs/>
      <w:sz w:val="28"/>
      <w:szCs w:val="28"/>
    </w:rPr>
  </w:style>
  <w:style w:customStyle="1" w:styleId="TitlestyleChar" w:type="character">
    <w:name w:val="Title_style Char"/>
    <w:basedOn w:val="DefaultParagraphFont"/>
    <w:link w:val="Titlestyle"/>
    <w:rsid w:val="002457D3"/>
    <w:rPr>
      <w:rFonts w:ascii="Segoe UI" w:cs="Segoe UI" w:hAnsi="Segoe UI"/>
      <w:b/>
      <w:bCs/>
      <w:sz w:val="28"/>
      <w:szCs w:val="28"/>
    </w:rPr>
  </w:style>
  <w:style w:customStyle="1" w:styleId="Subtitlestyle" w:type="paragraph">
    <w:name w:val="Subtitle_style"/>
    <w:basedOn w:val="Normal"/>
    <w:link w:val="SubtitlestyleChar"/>
    <w:rsid w:val="002457D3"/>
    <w:pPr>
      <w:tabs>
        <w:tab w:pos="1280" w:val="left"/>
        <w:tab w:pos="4536" w:val="center"/>
      </w:tabs>
      <w:spacing w:before="240" w:line="276" w:lineRule="auto"/>
      <w:jc w:val="center"/>
    </w:pPr>
    <w:rPr>
      <w:rFonts w:cs="Segoe UI"/>
      <w:b/>
      <w:bCs/>
      <w:sz w:val="24"/>
      <w:szCs w:val="24"/>
    </w:rPr>
  </w:style>
  <w:style w:customStyle="1" w:styleId="SubtitlestyleChar" w:type="character">
    <w:name w:val="Subtitle_style Char"/>
    <w:basedOn w:val="DefaultParagraphFont"/>
    <w:link w:val="Subtitlestyle"/>
    <w:rsid w:val="002457D3"/>
    <w:rPr>
      <w:rFonts w:ascii="Segoe UI" w:cs="Segoe UI" w:hAnsi="Segoe UI"/>
      <w:b/>
      <w:bCs/>
      <w:sz w:val="24"/>
      <w:szCs w:val="24"/>
    </w:rPr>
  </w:style>
  <w:style w:customStyle="1" w:styleId="Subheadingstyle" w:type="paragraph">
    <w:name w:val="Subheading_style"/>
    <w:basedOn w:val="ListParagraph"/>
    <w:link w:val="SubheadingstyleChar"/>
    <w:rsid w:val="002457D3"/>
    <w:pPr>
      <w:numPr>
        <w:numId w:val="1"/>
      </w:numPr>
      <w:shd w:color="auto" w:fill="D9D9D9" w:themeFill="background1" w:themeFillShade="D9" w:val="clear"/>
      <w:spacing w:after="240" w:before="240" w:line="276" w:lineRule="auto"/>
      <w:ind w:hanging="357" w:left="357"/>
      <w:contextualSpacing w:val="0"/>
    </w:pPr>
    <w:rPr>
      <w:rFonts w:cs="Segoe UI"/>
      <w:b/>
      <w:bCs/>
      <w:szCs w:val="24"/>
    </w:rPr>
  </w:style>
  <w:style w:customStyle="1" w:styleId="ListParagraphChar" w:type="character">
    <w:name w:val="List Paragraph Char"/>
    <w:basedOn w:val="DefaultParagraphFont"/>
    <w:link w:val="ListParagraph"/>
    <w:uiPriority w:val="34"/>
    <w:rsid w:val="002457D3"/>
    <w:rPr>
      <w:rFonts w:ascii="Segoe UI" w:hAnsi="Segoe UI"/>
    </w:rPr>
  </w:style>
  <w:style w:customStyle="1" w:styleId="SubheadingstyleChar" w:type="character">
    <w:name w:val="Subheading_style Char"/>
    <w:basedOn w:val="ListParagraphChar"/>
    <w:link w:val="Subheadingstyle"/>
    <w:rsid w:val="002457D3"/>
    <w:rPr>
      <w:rFonts w:ascii="Segoe UI" w:cs="Segoe UI" w:hAnsi="Segoe UI"/>
      <w:b/>
      <w:bCs/>
      <w:szCs w:val="24"/>
      <w:shd w:color="auto" w:fill="D9D9D9" w:themeFill="background1" w:themeFillShade="D9" w:val="clear"/>
    </w:rPr>
  </w:style>
  <w:style w:customStyle="1" w:styleId="Heading2Char" w:type="character">
    <w:name w:val="Heading 2 Char"/>
    <w:basedOn w:val="DefaultParagraphFont"/>
    <w:link w:val="Heading2"/>
    <w:uiPriority w:val="9"/>
    <w:rsid w:val="008D25AF"/>
    <w:rPr>
      <w:rFonts w:ascii="Segoe UI" w:cs="Segoe UI" w:hAnsi="Segoe UI"/>
      <w:b/>
      <w:bCs/>
      <w:sz w:val="24"/>
      <w:szCs w:val="24"/>
    </w:rPr>
  </w:style>
  <w:style w:customStyle="1" w:styleId="Table" w:type="table">
    <w:name w:val="Table"/>
    <w:basedOn w:val="TableGrid1"/>
    <w:uiPriority w:val="99"/>
    <w:rsid w:val="00682A18"/>
    <w:pPr>
      <w:spacing w:line="240" w:lineRule="auto"/>
      <w:jc w:val="center"/>
    </w:pPr>
    <w:rPr>
      <w:rFonts w:ascii="Segoe UI" w:hAnsi="Segoe UI"/>
      <w:sz w:val="20"/>
      <w:szCs w:val="20"/>
      <w:lang w:eastAsia="de-AT" w:val="de-AT"/>
    </w:rPr>
    <w:tblPr>
      <w:jc w:val="center"/>
      <w:tblBorders>
        <w:top w:color="auto" w:space="0" w:sz="0" w:val="none"/>
        <w:left w:color="auto" w:space="0" w:sz="0" w:val="none"/>
        <w:bottom w:color="auto" w:space="0" w:sz="0" w:val="none"/>
        <w:right w:color="auto" w:space="0" w:sz="0" w:val="none"/>
        <w:insideH w:color="auto" w:space="0" w:sz="4" w:val="single"/>
        <w:insideV w:color="auto" w:space="0" w:sz="0" w:val="none"/>
      </w:tblBorders>
    </w:tblPr>
    <w:trPr>
      <w:jc w:val="center"/>
    </w:trPr>
    <w:tcPr>
      <w:vAlign w:val="center"/>
    </w:tcPr>
    <w:tblStylePr w:type="firstRow">
      <w:pPr>
        <w:jc w:val="center"/>
      </w:pPr>
      <w:rPr>
        <w:b/>
      </w:rPr>
      <w:tblPr/>
      <w:tcPr>
        <w:shd w:color="auto" w:fill="EAF4FA" w:val="clear"/>
      </w:tcPr>
    </w:tblStylePr>
    <w:tblStylePr w:type="lastRow">
      <w:rPr>
        <w:i/>
        <w:iCs/>
      </w:rPr>
      <w:tblPr/>
      <w:tcPr>
        <w:tcBorders>
          <w:top w:color="000000" w:space="0" w:sz="6" w:val="single"/>
          <w:tl2br w:color="auto" w:space="0" w:sz="0" w:val="none"/>
          <w:tr2bl w:color="auto" w:space="0" w:sz="0" w:val="none"/>
        </w:tcBorders>
        <w:shd w:color="FFFF00" w:fill="FFFFFF" w:val="pct30"/>
      </w:tcPr>
    </w:tblStylePr>
    <w:tblStylePr w:type="firstCol">
      <w:pPr>
        <w:jc w:val="left"/>
      </w:pPr>
      <w:rPr>
        <w:b/>
      </w:rPr>
      <w:tblPr/>
      <w:tcPr>
        <w:shd w:color="auto" w:fill="EAF4FA" w:val="clear"/>
      </w:tcPr>
    </w:tblStylePr>
    <w:tblStylePr w:type="lastCol">
      <w:rPr>
        <w:i w:val="0"/>
        <w:iCs/>
      </w:rPr>
      <w:tblPr/>
      <w:tcPr>
        <w:tcBorders>
          <w:tl2br w:color="auto" w:space="0" w:sz="0" w:val="none"/>
          <w:tr2bl w:color="auto" w:space="0" w:sz="0" w:val="none"/>
        </w:tcBorders>
      </w:tcPr>
    </w:tblStylePr>
  </w:style>
  <w:style w:styleId="TableGrid1" w:type="table">
    <w:name w:val="Table Grid 1"/>
    <w:basedOn w:val="TableNormal"/>
    <w:uiPriority w:val="99"/>
    <w:semiHidden/>
    <w:unhideWhenUsed/>
    <w:rsid w:val="00784B7A"/>
    <w:pPr>
      <w:spacing w:after="0" w:line="360" w:lineRule="auto"/>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iCs/>
      </w:rPr>
      <w:tblPr/>
      <w:tcPr>
        <w:tcBorders>
          <w:tl2br w:color="auto" w:space="0" w:sz="0" w:val="none"/>
          <w:tr2bl w:color="auto" w:space="0" w:sz="0" w:val="none"/>
        </w:tcBorders>
      </w:tcPr>
    </w:tblStylePr>
    <w:tblStylePr w:type="lastCol">
      <w:rPr>
        <w:i/>
        <w:iCs/>
      </w:rPr>
      <w:tblPr/>
      <w:tcPr>
        <w:tcBorders>
          <w:tl2br w:color="auto" w:space="0" w:sz="0" w:val="none"/>
          <w:tr2bl w:color="auto" w:space="0" w:sz="0" w:val="none"/>
        </w:tcBorders>
      </w:tcPr>
    </w:tblStylePr>
  </w:style>
  <w:style w:styleId="Title" w:type="paragraph">
    <w:name w:val="Title"/>
    <w:basedOn w:val="Heading1"/>
    <w:next w:val="Normal"/>
    <w:link w:val="TitleChar"/>
    <w:uiPriority w:val="10"/>
    <w:qFormat/>
    <w:rsid w:val="00D363F6"/>
  </w:style>
  <w:style w:customStyle="1" w:styleId="TitleChar" w:type="character">
    <w:name w:val="Title Char"/>
    <w:basedOn w:val="DefaultParagraphFont"/>
    <w:link w:val="Title"/>
    <w:uiPriority w:val="10"/>
    <w:rsid w:val="00D363F6"/>
    <w:rPr>
      <w:rFonts w:ascii="Segoe UI" w:cs="Segoe UI" w:hAnsi="Segoe UI"/>
      <w:b/>
      <w:bCs/>
      <w:sz w:val="28"/>
      <w:szCs w:val="28"/>
    </w:rPr>
  </w:style>
  <w:style w:styleId="Subtitle" w:type="paragraph">
    <w:name w:val="Subtitle"/>
    <w:basedOn w:val="Heading2"/>
    <w:next w:val="Normal"/>
    <w:link w:val="SubtitleChar"/>
    <w:uiPriority w:val="11"/>
    <w:qFormat/>
    <w:rsid w:val="00D65D4B"/>
  </w:style>
  <w:style w:customStyle="1" w:styleId="SubtitleChar" w:type="character">
    <w:name w:val="Subtitle Char"/>
    <w:basedOn w:val="DefaultParagraphFont"/>
    <w:link w:val="Subtitle"/>
    <w:uiPriority w:val="11"/>
    <w:rsid w:val="00D65D4B"/>
    <w:rPr>
      <w:rFonts w:ascii="Segoe UI" w:cs="Segoe UI" w:hAnsi="Segoe UI"/>
      <w:b/>
      <w:bCs/>
      <w:sz w:val="24"/>
      <w:szCs w:val="24"/>
    </w:rPr>
  </w:style>
  <w:style w:customStyle="1" w:styleId="Altbody" w:type="paragraph">
    <w:name w:val="Alt_body"/>
    <w:basedOn w:val="Normal"/>
    <w:link w:val="AltbodyChar"/>
    <w:qFormat/>
    <w:rsid w:val="007C63F4"/>
    <w:pPr>
      <w:spacing w:line="276" w:lineRule="auto"/>
      <w:jc w:val="both"/>
    </w:pPr>
    <w:rPr>
      <w:rFonts w:cs="Segoe UI"/>
      <w:i/>
      <w:iCs/>
      <w:color w:themeColor="text1" w:val="000000"/>
      <w:sz w:val="20"/>
      <w:lang w:val="de-AT"/>
    </w:rPr>
  </w:style>
  <w:style w:customStyle="1" w:styleId="AltbodyChar" w:type="character">
    <w:name w:val="Alt_body Char"/>
    <w:basedOn w:val="DefaultParagraphFont"/>
    <w:link w:val="Altbody"/>
    <w:rsid w:val="007C63F4"/>
    <w:rPr>
      <w:rFonts w:ascii="Segoe UI" w:cs="Segoe UI" w:hAnsi="Segoe UI"/>
      <w:i/>
      <w:iCs/>
      <w:color w:themeColor="text1" w:val="000000"/>
      <w:sz w:val="20"/>
      <w:lang w:val="de-AT"/>
    </w:rPr>
  </w:style>
  <w:style w:styleId="FootnoteText" w:type="paragraph">
    <w:name w:val="footnote text"/>
    <w:basedOn w:val="Normal"/>
    <w:link w:val="FootnoteTextChar"/>
    <w:uiPriority w:val="99"/>
    <w:semiHidden/>
    <w:unhideWhenUsed/>
    <w:rsid w:val="003C6566"/>
    <w:pPr>
      <w:spacing w:line="240" w:lineRule="auto"/>
    </w:pPr>
    <w:rPr>
      <w:sz w:val="20"/>
      <w:szCs w:val="20"/>
    </w:rPr>
  </w:style>
  <w:style w:customStyle="1" w:styleId="FootnoteTextChar" w:type="character">
    <w:name w:val="Footnote Text Char"/>
    <w:basedOn w:val="DefaultParagraphFont"/>
    <w:link w:val="FootnoteText"/>
    <w:uiPriority w:val="99"/>
    <w:semiHidden/>
    <w:rsid w:val="003C6566"/>
    <w:rPr>
      <w:rFonts w:ascii="Segoe UI" w:hAnsi="Segoe UI"/>
      <w:sz w:val="20"/>
      <w:szCs w:val="20"/>
    </w:rPr>
  </w:style>
  <w:style w:styleId="FootnoteReference" w:type="character">
    <w:name w:val="footnote reference"/>
    <w:basedOn w:val="DefaultParagraphFont"/>
    <w:uiPriority w:val="99"/>
    <w:semiHidden/>
    <w:unhideWhenUsed/>
    <w:rsid w:val="003C6566"/>
    <w:rPr>
      <w:vertAlign w:val="superscript"/>
    </w:rPr>
  </w:style>
  <w:style w:styleId="NoSpacing" w:type="paragraph">
    <w:name w:val="No Spacing"/>
    <w:uiPriority w:val="1"/>
    <w:qFormat/>
    <w:rsid w:val="003C6566"/>
    <w:pPr>
      <w:spacing w:after="0" w:line="240" w:lineRule="auto"/>
    </w:pPr>
    <w:rPr>
      <w:rFonts w:ascii="Segoe UI" w:hAnsi="Segoe UI"/>
    </w:rPr>
  </w:style>
  <w:style w:customStyle="1" w:styleId="Body" w:type="paragraph">
    <w:name w:val="Body"/>
    <w:basedOn w:val="Normal"/>
    <w:link w:val="BodyChar"/>
    <w:qFormat/>
    <w:rsid w:val="003C6566"/>
    <w:pPr>
      <w:spacing w:before="120" w:line="276" w:lineRule="auto"/>
      <w:jc w:val="both"/>
    </w:pPr>
    <w:rPr>
      <w:rFonts w:cs="Segoe UI"/>
      <w:bCs/>
      <w:sz w:val="20"/>
    </w:rPr>
  </w:style>
  <w:style w:customStyle="1" w:styleId="BodyChar" w:type="character">
    <w:name w:val="Body Char"/>
    <w:basedOn w:val="DefaultParagraphFont"/>
    <w:link w:val="Body"/>
    <w:rsid w:val="003C6566"/>
    <w:rPr>
      <w:rFonts w:ascii="Segoe UI" w:cs="Segoe UI" w:hAnsi="Segoe UI"/>
      <w:bCs/>
      <w:sz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33">
      <w:bodyDiv w:val="1"/>
      <w:marLeft w:val="0"/>
      <w:marRight w:val="0"/>
      <w:marTop w:val="0"/>
      <w:marBottom w:val="0"/>
      <w:divBdr>
        <w:top w:val="none" w:sz="0" w:space="0" w:color="auto"/>
        <w:left w:val="none" w:sz="0" w:space="0" w:color="auto"/>
        <w:bottom w:val="none" w:sz="0" w:space="0" w:color="auto"/>
        <w:right w:val="none" w:sz="0" w:space="0" w:color="auto"/>
      </w:divBdr>
    </w:div>
    <w:div w:id="53161324">
      <w:bodyDiv w:val="1"/>
      <w:marLeft w:val="0"/>
      <w:marRight w:val="0"/>
      <w:marTop w:val="0"/>
      <w:marBottom w:val="0"/>
      <w:divBdr>
        <w:top w:val="none" w:sz="0" w:space="0" w:color="auto"/>
        <w:left w:val="none" w:sz="0" w:space="0" w:color="auto"/>
        <w:bottom w:val="none" w:sz="0" w:space="0" w:color="auto"/>
        <w:right w:val="none" w:sz="0" w:space="0" w:color="auto"/>
      </w:divBdr>
    </w:div>
    <w:div w:id="60300586">
      <w:bodyDiv w:val="1"/>
      <w:marLeft w:val="0"/>
      <w:marRight w:val="0"/>
      <w:marTop w:val="0"/>
      <w:marBottom w:val="0"/>
      <w:divBdr>
        <w:top w:val="none" w:sz="0" w:space="0" w:color="auto"/>
        <w:left w:val="none" w:sz="0" w:space="0" w:color="auto"/>
        <w:bottom w:val="none" w:sz="0" w:space="0" w:color="auto"/>
        <w:right w:val="none" w:sz="0" w:space="0" w:color="auto"/>
      </w:divBdr>
    </w:div>
    <w:div w:id="66342305">
      <w:bodyDiv w:val="1"/>
      <w:marLeft w:val="0"/>
      <w:marRight w:val="0"/>
      <w:marTop w:val="0"/>
      <w:marBottom w:val="0"/>
      <w:divBdr>
        <w:top w:val="none" w:sz="0" w:space="0" w:color="auto"/>
        <w:left w:val="none" w:sz="0" w:space="0" w:color="auto"/>
        <w:bottom w:val="none" w:sz="0" w:space="0" w:color="auto"/>
        <w:right w:val="none" w:sz="0" w:space="0" w:color="auto"/>
      </w:divBdr>
    </w:div>
    <w:div w:id="132647636">
      <w:bodyDiv w:val="1"/>
      <w:marLeft w:val="0"/>
      <w:marRight w:val="0"/>
      <w:marTop w:val="0"/>
      <w:marBottom w:val="0"/>
      <w:divBdr>
        <w:top w:val="none" w:sz="0" w:space="0" w:color="auto"/>
        <w:left w:val="none" w:sz="0" w:space="0" w:color="auto"/>
        <w:bottom w:val="none" w:sz="0" w:space="0" w:color="auto"/>
        <w:right w:val="none" w:sz="0" w:space="0" w:color="auto"/>
      </w:divBdr>
    </w:div>
    <w:div w:id="156769638">
      <w:bodyDiv w:val="1"/>
      <w:marLeft w:val="0"/>
      <w:marRight w:val="0"/>
      <w:marTop w:val="0"/>
      <w:marBottom w:val="0"/>
      <w:divBdr>
        <w:top w:val="none" w:sz="0" w:space="0" w:color="auto"/>
        <w:left w:val="none" w:sz="0" w:space="0" w:color="auto"/>
        <w:bottom w:val="none" w:sz="0" w:space="0" w:color="auto"/>
        <w:right w:val="none" w:sz="0" w:space="0" w:color="auto"/>
      </w:divBdr>
    </w:div>
    <w:div w:id="161940801">
      <w:bodyDiv w:val="1"/>
      <w:marLeft w:val="0"/>
      <w:marRight w:val="0"/>
      <w:marTop w:val="0"/>
      <w:marBottom w:val="0"/>
      <w:divBdr>
        <w:top w:val="none" w:sz="0" w:space="0" w:color="auto"/>
        <w:left w:val="none" w:sz="0" w:space="0" w:color="auto"/>
        <w:bottom w:val="none" w:sz="0" w:space="0" w:color="auto"/>
        <w:right w:val="none" w:sz="0" w:space="0" w:color="auto"/>
      </w:divBdr>
    </w:div>
    <w:div w:id="169680896">
      <w:bodyDiv w:val="1"/>
      <w:marLeft w:val="0"/>
      <w:marRight w:val="0"/>
      <w:marTop w:val="0"/>
      <w:marBottom w:val="0"/>
      <w:divBdr>
        <w:top w:val="none" w:sz="0" w:space="0" w:color="auto"/>
        <w:left w:val="none" w:sz="0" w:space="0" w:color="auto"/>
        <w:bottom w:val="none" w:sz="0" w:space="0" w:color="auto"/>
        <w:right w:val="none" w:sz="0" w:space="0" w:color="auto"/>
      </w:divBdr>
    </w:div>
    <w:div w:id="215821070">
      <w:bodyDiv w:val="1"/>
      <w:marLeft w:val="0"/>
      <w:marRight w:val="0"/>
      <w:marTop w:val="0"/>
      <w:marBottom w:val="0"/>
      <w:divBdr>
        <w:top w:val="none" w:sz="0" w:space="0" w:color="auto"/>
        <w:left w:val="none" w:sz="0" w:space="0" w:color="auto"/>
        <w:bottom w:val="none" w:sz="0" w:space="0" w:color="auto"/>
        <w:right w:val="none" w:sz="0" w:space="0" w:color="auto"/>
      </w:divBdr>
    </w:div>
    <w:div w:id="282463956">
      <w:bodyDiv w:val="1"/>
      <w:marLeft w:val="0"/>
      <w:marRight w:val="0"/>
      <w:marTop w:val="0"/>
      <w:marBottom w:val="0"/>
      <w:divBdr>
        <w:top w:val="none" w:sz="0" w:space="0" w:color="auto"/>
        <w:left w:val="none" w:sz="0" w:space="0" w:color="auto"/>
        <w:bottom w:val="none" w:sz="0" w:space="0" w:color="auto"/>
        <w:right w:val="none" w:sz="0" w:space="0" w:color="auto"/>
      </w:divBdr>
    </w:div>
    <w:div w:id="289896911">
      <w:bodyDiv w:val="1"/>
      <w:marLeft w:val="0"/>
      <w:marRight w:val="0"/>
      <w:marTop w:val="0"/>
      <w:marBottom w:val="0"/>
      <w:divBdr>
        <w:top w:val="none" w:sz="0" w:space="0" w:color="auto"/>
        <w:left w:val="none" w:sz="0" w:space="0" w:color="auto"/>
        <w:bottom w:val="none" w:sz="0" w:space="0" w:color="auto"/>
        <w:right w:val="none" w:sz="0" w:space="0" w:color="auto"/>
      </w:divBdr>
    </w:div>
    <w:div w:id="290790820">
      <w:bodyDiv w:val="1"/>
      <w:marLeft w:val="0"/>
      <w:marRight w:val="0"/>
      <w:marTop w:val="0"/>
      <w:marBottom w:val="0"/>
      <w:divBdr>
        <w:top w:val="none" w:sz="0" w:space="0" w:color="auto"/>
        <w:left w:val="none" w:sz="0" w:space="0" w:color="auto"/>
        <w:bottom w:val="none" w:sz="0" w:space="0" w:color="auto"/>
        <w:right w:val="none" w:sz="0" w:space="0" w:color="auto"/>
      </w:divBdr>
    </w:div>
    <w:div w:id="298924333">
      <w:bodyDiv w:val="1"/>
      <w:marLeft w:val="0"/>
      <w:marRight w:val="0"/>
      <w:marTop w:val="0"/>
      <w:marBottom w:val="0"/>
      <w:divBdr>
        <w:top w:val="none" w:sz="0" w:space="0" w:color="auto"/>
        <w:left w:val="none" w:sz="0" w:space="0" w:color="auto"/>
        <w:bottom w:val="none" w:sz="0" w:space="0" w:color="auto"/>
        <w:right w:val="none" w:sz="0" w:space="0" w:color="auto"/>
      </w:divBdr>
    </w:div>
    <w:div w:id="323432034">
      <w:bodyDiv w:val="1"/>
      <w:marLeft w:val="0"/>
      <w:marRight w:val="0"/>
      <w:marTop w:val="0"/>
      <w:marBottom w:val="0"/>
      <w:divBdr>
        <w:top w:val="none" w:sz="0" w:space="0" w:color="auto"/>
        <w:left w:val="none" w:sz="0" w:space="0" w:color="auto"/>
        <w:bottom w:val="none" w:sz="0" w:space="0" w:color="auto"/>
        <w:right w:val="none" w:sz="0" w:space="0" w:color="auto"/>
      </w:divBdr>
    </w:div>
    <w:div w:id="328563775">
      <w:bodyDiv w:val="1"/>
      <w:marLeft w:val="0"/>
      <w:marRight w:val="0"/>
      <w:marTop w:val="0"/>
      <w:marBottom w:val="0"/>
      <w:divBdr>
        <w:top w:val="none" w:sz="0" w:space="0" w:color="auto"/>
        <w:left w:val="none" w:sz="0" w:space="0" w:color="auto"/>
        <w:bottom w:val="none" w:sz="0" w:space="0" w:color="auto"/>
        <w:right w:val="none" w:sz="0" w:space="0" w:color="auto"/>
      </w:divBdr>
    </w:div>
    <w:div w:id="331639803">
      <w:bodyDiv w:val="1"/>
      <w:marLeft w:val="0"/>
      <w:marRight w:val="0"/>
      <w:marTop w:val="0"/>
      <w:marBottom w:val="0"/>
      <w:divBdr>
        <w:top w:val="none" w:sz="0" w:space="0" w:color="auto"/>
        <w:left w:val="none" w:sz="0" w:space="0" w:color="auto"/>
        <w:bottom w:val="none" w:sz="0" w:space="0" w:color="auto"/>
        <w:right w:val="none" w:sz="0" w:space="0" w:color="auto"/>
      </w:divBdr>
    </w:div>
    <w:div w:id="361319256">
      <w:bodyDiv w:val="1"/>
      <w:marLeft w:val="0"/>
      <w:marRight w:val="0"/>
      <w:marTop w:val="0"/>
      <w:marBottom w:val="0"/>
      <w:divBdr>
        <w:top w:val="none" w:sz="0" w:space="0" w:color="auto"/>
        <w:left w:val="none" w:sz="0" w:space="0" w:color="auto"/>
        <w:bottom w:val="none" w:sz="0" w:space="0" w:color="auto"/>
        <w:right w:val="none" w:sz="0" w:space="0" w:color="auto"/>
      </w:divBdr>
    </w:div>
    <w:div w:id="471754314">
      <w:bodyDiv w:val="1"/>
      <w:marLeft w:val="0"/>
      <w:marRight w:val="0"/>
      <w:marTop w:val="0"/>
      <w:marBottom w:val="0"/>
      <w:divBdr>
        <w:top w:val="none" w:sz="0" w:space="0" w:color="auto"/>
        <w:left w:val="none" w:sz="0" w:space="0" w:color="auto"/>
        <w:bottom w:val="none" w:sz="0" w:space="0" w:color="auto"/>
        <w:right w:val="none" w:sz="0" w:space="0" w:color="auto"/>
      </w:divBdr>
    </w:div>
    <w:div w:id="494881732">
      <w:bodyDiv w:val="1"/>
      <w:marLeft w:val="0"/>
      <w:marRight w:val="0"/>
      <w:marTop w:val="0"/>
      <w:marBottom w:val="0"/>
      <w:divBdr>
        <w:top w:val="none" w:sz="0" w:space="0" w:color="auto"/>
        <w:left w:val="none" w:sz="0" w:space="0" w:color="auto"/>
        <w:bottom w:val="none" w:sz="0" w:space="0" w:color="auto"/>
        <w:right w:val="none" w:sz="0" w:space="0" w:color="auto"/>
      </w:divBdr>
    </w:div>
    <w:div w:id="496920895">
      <w:bodyDiv w:val="1"/>
      <w:marLeft w:val="0"/>
      <w:marRight w:val="0"/>
      <w:marTop w:val="0"/>
      <w:marBottom w:val="0"/>
      <w:divBdr>
        <w:top w:val="none" w:sz="0" w:space="0" w:color="auto"/>
        <w:left w:val="none" w:sz="0" w:space="0" w:color="auto"/>
        <w:bottom w:val="none" w:sz="0" w:space="0" w:color="auto"/>
        <w:right w:val="none" w:sz="0" w:space="0" w:color="auto"/>
      </w:divBdr>
    </w:div>
    <w:div w:id="499271112">
      <w:bodyDiv w:val="1"/>
      <w:marLeft w:val="0"/>
      <w:marRight w:val="0"/>
      <w:marTop w:val="0"/>
      <w:marBottom w:val="0"/>
      <w:divBdr>
        <w:top w:val="none" w:sz="0" w:space="0" w:color="auto"/>
        <w:left w:val="none" w:sz="0" w:space="0" w:color="auto"/>
        <w:bottom w:val="none" w:sz="0" w:space="0" w:color="auto"/>
        <w:right w:val="none" w:sz="0" w:space="0" w:color="auto"/>
      </w:divBdr>
    </w:div>
    <w:div w:id="507601804">
      <w:bodyDiv w:val="1"/>
      <w:marLeft w:val="0"/>
      <w:marRight w:val="0"/>
      <w:marTop w:val="0"/>
      <w:marBottom w:val="0"/>
      <w:divBdr>
        <w:top w:val="none" w:sz="0" w:space="0" w:color="auto"/>
        <w:left w:val="none" w:sz="0" w:space="0" w:color="auto"/>
        <w:bottom w:val="none" w:sz="0" w:space="0" w:color="auto"/>
        <w:right w:val="none" w:sz="0" w:space="0" w:color="auto"/>
      </w:divBdr>
    </w:div>
    <w:div w:id="551113752">
      <w:bodyDiv w:val="1"/>
      <w:marLeft w:val="0"/>
      <w:marRight w:val="0"/>
      <w:marTop w:val="0"/>
      <w:marBottom w:val="0"/>
      <w:divBdr>
        <w:top w:val="none" w:sz="0" w:space="0" w:color="auto"/>
        <w:left w:val="none" w:sz="0" w:space="0" w:color="auto"/>
        <w:bottom w:val="none" w:sz="0" w:space="0" w:color="auto"/>
        <w:right w:val="none" w:sz="0" w:space="0" w:color="auto"/>
      </w:divBdr>
    </w:div>
    <w:div w:id="566381666">
      <w:bodyDiv w:val="1"/>
      <w:marLeft w:val="0"/>
      <w:marRight w:val="0"/>
      <w:marTop w:val="0"/>
      <w:marBottom w:val="0"/>
      <w:divBdr>
        <w:top w:val="none" w:sz="0" w:space="0" w:color="auto"/>
        <w:left w:val="none" w:sz="0" w:space="0" w:color="auto"/>
        <w:bottom w:val="none" w:sz="0" w:space="0" w:color="auto"/>
        <w:right w:val="none" w:sz="0" w:space="0" w:color="auto"/>
      </w:divBdr>
    </w:div>
    <w:div w:id="586769951">
      <w:bodyDiv w:val="1"/>
      <w:marLeft w:val="0"/>
      <w:marRight w:val="0"/>
      <w:marTop w:val="0"/>
      <w:marBottom w:val="0"/>
      <w:divBdr>
        <w:top w:val="none" w:sz="0" w:space="0" w:color="auto"/>
        <w:left w:val="none" w:sz="0" w:space="0" w:color="auto"/>
        <w:bottom w:val="none" w:sz="0" w:space="0" w:color="auto"/>
        <w:right w:val="none" w:sz="0" w:space="0" w:color="auto"/>
      </w:divBdr>
    </w:div>
    <w:div w:id="621427412">
      <w:bodyDiv w:val="1"/>
      <w:marLeft w:val="0"/>
      <w:marRight w:val="0"/>
      <w:marTop w:val="0"/>
      <w:marBottom w:val="0"/>
      <w:divBdr>
        <w:top w:val="none" w:sz="0" w:space="0" w:color="auto"/>
        <w:left w:val="none" w:sz="0" w:space="0" w:color="auto"/>
        <w:bottom w:val="none" w:sz="0" w:space="0" w:color="auto"/>
        <w:right w:val="none" w:sz="0" w:space="0" w:color="auto"/>
      </w:divBdr>
    </w:div>
    <w:div w:id="642462764">
      <w:bodyDiv w:val="1"/>
      <w:marLeft w:val="0"/>
      <w:marRight w:val="0"/>
      <w:marTop w:val="0"/>
      <w:marBottom w:val="0"/>
      <w:divBdr>
        <w:top w:val="none" w:sz="0" w:space="0" w:color="auto"/>
        <w:left w:val="none" w:sz="0" w:space="0" w:color="auto"/>
        <w:bottom w:val="none" w:sz="0" w:space="0" w:color="auto"/>
        <w:right w:val="none" w:sz="0" w:space="0" w:color="auto"/>
      </w:divBdr>
    </w:div>
    <w:div w:id="661544007">
      <w:bodyDiv w:val="1"/>
      <w:marLeft w:val="0"/>
      <w:marRight w:val="0"/>
      <w:marTop w:val="0"/>
      <w:marBottom w:val="0"/>
      <w:divBdr>
        <w:top w:val="none" w:sz="0" w:space="0" w:color="auto"/>
        <w:left w:val="none" w:sz="0" w:space="0" w:color="auto"/>
        <w:bottom w:val="none" w:sz="0" w:space="0" w:color="auto"/>
        <w:right w:val="none" w:sz="0" w:space="0" w:color="auto"/>
      </w:divBdr>
    </w:div>
    <w:div w:id="665667574">
      <w:bodyDiv w:val="1"/>
      <w:marLeft w:val="0"/>
      <w:marRight w:val="0"/>
      <w:marTop w:val="0"/>
      <w:marBottom w:val="0"/>
      <w:divBdr>
        <w:top w:val="none" w:sz="0" w:space="0" w:color="auto"/>
        <w:left w:val="none" w:sz="0" w:space="0" w:color="auto"/>
        <w:bottom w:val="none" w:sz="0" w:space="0" w:color="auto"/>
        <w:right w:val="none" w:sz="0" w:space="0" w:color="auto"/>
      </w:divBdr>
    </w:div>
    <w:div w:id="719716549">
      <w:bodyDiv w:val="1"/>
      <w:marLeft w:val="0"/>
      <w:marRight w:val="0"/>
      <w:marTop w:val="0"/>
      <w:marBottom w:val="0"/>
      <w:divBdr>
        <w:top w:val="none" w:sz="0" w:space="0" w:color="auto"/>
        <w:left w:val="none" w:sz="0" w:space="0" w:color="auto"/>
        <w:bottom w:val="none" w:sz="0" w:space="0" w:color="auto"/>
        <w:right w:val="none" w:sz="0" w:space="0" w:color="auto"/>
      </w:divBdr>
    </w:div>
    <w:div w:id="722800448">
      <w:bodyDiv w:val="1"/>
      <w:marLeft w:val="0"/>
      <w:marRight w:val="0"/>
      <w:marTop w:val="0"/>
      <w:marBottom w:val="0"/>
      <w:divBdr>
        <w:top w:val="none" w:sz="0" w:space="0" w:color="auto"/>
        <w:left w:val="none" w:sz="0" w:space="0" w:color="auto"/>
        <w:bottom w:val="none" w:sz="0" w:space="0" w:color="auto"/>
        <w:right w:val="none" w:sz="0" w:space="0" w:color="auto"/>
      </w:divBdr>
    </w:div>
    <w:div w:id="741413680">
      <w:bodyDiv w:val="1"/>
      <w:marLeft w:val="0"/>
      <w:marRight w:val="0"/>
      <w:marTop w:val="0"/>
      <w:marBottom w:val="0"/>
      <w:divBdr>
        <w:top w:val="none" w:sz="0" w:space="0" w:color="auto"/>
        <w:left w:val="none" w:sz="0" w:space="0" w:color="auto"/>
        <w:bottom w:val="none" w:sz="0" w:space="0" w:color="auto"/>
        <w:right w:val="none" w:sz="0" w:space="0" w:color="auto"/>
      </w:divBdr>
    </w:div>
    <w:div w:id="764497149">
      <w:bodyDiv w:val="1"/>
      <w:marLeft w:val="0"/>
      <w:marRight w:val="0"/>
      <w:marTop w:val="0"/>
      <w:marBottom w:val="0"/>
      <w:divBdr>
        <w:top w:val="none" w:sz="0" w:space="0" w:color="auto"/>
        <w:left w:val="none" w:sz="0" w:space="0" w:color="auto"/>
        <w:bottom w:val="none" w:sz="0" w:space="0" w:color="auto"/>
        <w:right w:val="none" w:sz="0" w:space="0" w:color="auto"/>
      </w:divBdr>
    </w:div>
    <w:div w:id="780951344">
      <w:bodyDiv w:val="1"/>
      <w:marLeft w:val="0"/>
      <w:marRight w:val="0"/>
      <w:marTop w:val="0"/>
      <w:marBottom w:val="0"/>
      <w:divBdr>
        <w:top w:val="none" w:sz="0" w:space="0" w:color="auto"/>
        <w:left w:val="none" w:sz="0" w:space="0" w:color="auto"/>
        <w:bottom w:val="none" w:sz="0" w:space="0" w:color="auto"/>
        <w:right w:val="none" w:sz="0" w:space="0" w:color="auto"/>
      </w:divBdr>
    </w:div>
    <w:div w:id="804617156">
      <w:bodyDiv w:val="1"/>
      <w:marLeft w:val="0"/>
      <w:marRight w:val="0"/>
      <w:marTop w:val="0"/>
      <w:marBottom w:val="0"/>
      <w:divBdr>
        <w:top w:val="none" w:sz="0" w:space="0" w:color="auto"/>
        <w:left w:val="none" w:sz="0" w:space="0" w:color="auto"/>
        <w:bottom w:val="none" w:sz="0" w:space="0" w:color="auto"/>
        <w:right w:val="none" w:sz="0" w:space="0" w:color="auto"/>
      </w:divBdr>
    </w:div>
    <w:div w:id="807168431">
      <w:bodyDiv w:val="1"/>
      <w:marLeft w:val="0"/>
      <w:marRight w:val="0"/>
      <w:marTop w:val="0"/>
      <w:marBottom w:val="0"/>
      <w:divBdr>
        <w:top w:val="none" w:sz="0" w:space="0" w:color="auto"/>
        <w:left w:val="none" w:sz="0" w:space="0" w:color="auto"/>
        <w:bottom w:val="none" w:sz="0" w:space="0" w:color="auto"/>
        <w:right w:val="none" w:sz="0" w:space="0" w:color="auto"/>
      </w:divBdr>
    </w:div>
    <w:div w:id="864755054">
      <w:bodyDiv w:val="1"/>
      <w:marLeft w:val="0"/>
      <w:marRight w:val="0"/>
      <w:marTop w:val="0"/>
      <w:marBottom w:val="0"/>
      <w:divBdr>
        <w:top w:val="none" w:sz="0" w:space="0" w:color="auto"/>
        <w:left w:val="none" w:sz="0" w:space="0" w:color="auto"/>
        <w:bottom w:val="none" w:sz="0" w:space="0" w:color="auto"/>
        <w:right w:val="none" w:sz="0" w:space="0" w:color="auto"/>
      </w:divBdr>
    </w:div>
    <w:div w:id="877161165">
      <w:bodyDiv w:val="1"/>
      <w:marLeft w:val="0"/>
      <w:marRight w:val="0"/>
      <w:marTop w:val="0"/>
      <w:marBottom w:val="0"/>
      <w:divBdr>
        <w:top w:val="none" w:sz="0" w:space="0" w:color="auto"/>
        <w:left w:val="none" w:sz="0" w:space="0" w:color="auto"/>
        <w:bottom w:val="none" w:sz="0" w:space="0" w:color="auto"/>
        <w:right w:val="none" w:sz="0" w:space="0" w:color="auto"/>
      </w:divBdr>
    </w:div>
    <w:div w:id="881282678">
      <w:bodyDiv w:val="1"/>
      <w:marLeft w:val="0"/>
      <w:marRight w:val="0"/>
      <w:marTop w:val="0"/>
      <w:marBottom w:val="0"/>
      <w:divBdr>
        <w:top w:val="none" w:sz="0" w:space="0" w:color="auto"/>
        <w:left w:val="none" w:sz="0" w:space="0" w:color="auto"/>
        <w:bottom w:val="none" w:sz="0" w:space="0" w:color="auto"/>
        <w:right w:val="none" w:sz="0" w:space="0" w:color="auto"/>
      </w:divBdr>
    </w:div>
    <w:div w:id="907959495">
      <w:bodyDiv w:val="1"/>
      <w:marLeft w:val="0"/>
      <w:marRight w:val="0"/>
      <w:marTop w:val="0"/>
      <w:marBottom w:val="0"/>
      <w:divBdr>
        <w:top w:val="none" w:sz="0" w:space="0" w:color="auto"/>
        <w:left w:val="none" w:sz="0" w:space="0" w:color="auto"/>
        <w:bottom w:val="none" w:sz="0" w:space="0" w:color="auto"/>
        <w:right w:val="none" w:sz="0" w:space="0" w:color="auto"/>
      </w:divBdr>
    </w:div>
    <w:div w:id="916980846">
      <w:bodyDiv w:val="1"/>
      <w:marLeft w:val="0"/>
      <w:marRight w:val="0"/>
      <w:marTop w:val="0"/>
      <w:marBottom w:val="0"/>
      <w:divBdr>
        <w:top w:val="none" w:sz="0" w:space="0" w:color="auto"/>
        <w:left w:val="none" w:sz="0" w:space="0" w:color="auto"/>
        <w:bottom w:val="none" w:sz="0" w:space="0" w:color="auto"/>
        <w:right w:val="none" w:sz="0" w:space="0" w:color="auto"/>
      </w:divBdr>
    </w:div>
    <w:div w:id="935018835">
      <w:bodyDiv w:val="1"/>
      <w:marLeft w:val="0"/>
      <w:marRight w:val="0"/>
      <w:marTop w:val="0"/>
      <w:marBottom w:val="0"/>
      <w:divBdr>
        <w:top w:val="none" w:sz="0" w:space="0" w:color="auto"/>
        <w:left w:val="none" w:sz="0" w:space="0" w:color="auto"/>
        <w:bottom w:val="none" w:sz="0" w:space="0" w:color="auto"/>
        <w:right w:val="none" w:sz="0" w:space="0" w:color="auto"/>
      </w:divBdr>
    </w:div>
    <w:div w:id="956832772">
      <w:bodyDiv w:val="1"/>
      <w:marLeft w:val="0"/>
      <w:marRight w:val="0"/>
      <w:marTop w:val="0"/>
      <w:marBottom w:val="0"/>
      <w:divBdr>
        <w:top w:val="none" w:sz="0" w:space="0" w:color="auto"/>
        <w:left w:val="none" w:sz="0" w:space="0" w:color="auto"/>
        <w:bottom w:val="none" w:sz="0" w:space="0" w:color="auto"/>
        <w:right w:val="none" w:sz="0" w:space="0" w:color="auto"/>
      </w:divBdr>
    </w:div>
    <w:div w:id="996957923">
      <w:bodyDiv w:val="1"/>
      <w:marLeft w:val="0"/>
      <w:marRight w:val="0"/>
      <w:marTop w:val="0"/>
      <w:marBottom w:val="0"/>
      <w:divBdr>
        <w:top w:val="none" w:sz="0" w:space="0" w:color="auto"/>
        <w:left w:val="none" w:sz="0" w:space="0" w:color="auto"/>
        <w:bottom w:val="none" w:sz="0" w:space="0" w:color="auto"/>
        <w:right w:val="none" w:sz="0" w:space="0" w:color="auto"/>
      </w:divBdr>
    </w:div>
    <w:div w:id="999037189">
      <w:bodyDiv w:val="1"/>
      <w:marLeft w:val="0"/>
      <w:marRight w:val="0"/>
      <w:marTop w:val="0"/>
      <w:marBottom w:val="0"/>
      <w:divBdr>
        <w:top w:val="none" w:sz="0" w:space="0" w:color="auto"/>
        <w:left w:val="none" w:sz="0" w:space="0" w:color="auto"/>
        <w:bottom w:val="none" w:sz="0" w:space="0" w:color="auto"/>
        <w:right w:val="none" w:sz="0" w:space="0" w:color="auto"/>
      </w:divBdr>
    </w:div>
    <w:div w:id="1012758283">
      <w:bodyDiv w:val="1"/>
      <w:marLeft w:val="0"/>
      <w:marRight w:val="0"/>
      <w:marTop w:val="0"/>
      <w:marBottom w:val="0"/>
      <w:divBdr>
        <w:top w:val="none" w:sz="0" w:space="0" w:color="auto"/>
        <w:left w:val="none" w:sz="0" w:space="0" w:color="auto"/>
        <w:bottom w:val="none" w:sz="0" w:space="0" w:color="auto"/>
        <w:right w:val="none" w:sz="0" w:space="0" w:color="auto"/>
      </w:divBdr>
    </w:div>
    <w:div w:id="1020660999">
      <w:bodyDiv w:val="1"/>
      <w:marLeft w:val="0"/>
      <w:marRight w:val="0"/>
      <w:marTop w:val="0"/>
      <w:marBottom w:val="0"/>
      <w:divBdr>
        <w:top w:val="none" w:sz="0" w:space="0" w:color="auto"/>
        <w:left w:val="none" w:sz="0" w:space="0" w:color="auto"/>
        <w:bottom w:val="none" w:sz="0" w:space="0" w:color="auto"/>
        <w:right w:val="none" w:sz="0" w:space="0" w:color="auto"/>
      </w:divBdr>
    </w:div>
    <w:div w:id="1098020400">
      <w:bodyDiv w:val="1"/>
      <w:marLeft w:val="0"/>
      <w:marRight w:val="0"/>
      <w:marTop w:val="0"/>
      <w:marBottom w:val="0"/>
      <w:divBdr>
        <w:top w:val="none" w:sz="0" w:space="0" w:color="auto"/>
        <w:left w:val="none" w:sz="0" w:space="0" w:color="auto"/>
        <w:bottom w:val="none" w:sz="0" w:space="0" w:color="auto"/>
        <w:right w:val="none" w:sz="0" w:space="0" w:color="auto"/>
      </w:divBdr>
    </w:div>
    <w:div w:id="1113475159">
      <w:bodyDiv w:val="1"/>
      <w:marLeft w:val="0"/>
      <w:marRight w:val="0"/>
      <w:marTop w:val="0"/>
      <w:marBottom w:val="0"/>
      <w:divBdr>
        <w:top w:val="none" w:sz="0" w:space="0" w:color="auto"/>
        <w:left w:val="none" w:sz="0" w:space="0" w:color="auto"/>
        <w:bottom w:val="none" w:sz="0" w:space="0" w:color="auto"/>
        <w:right w:val="none" w:sz="0" w:space="0" w:color="auto"/>
      </w:divBdr>
    </w:div>
    <w:div w:id="1153566465">
      <w:bodyDiv w:val="1"/>
      <w:marLeft w:val="0"/>
      <w:marRight w:val="0"/>
      <w:marTop w:val="0"/>
      <w:marBottom w:val="0"/>
      <w:divBdr>
        <w:top w:val="none" w:sz="0" w:space="0" w:color="auto"/>
        <w:left w:val="none" w:sz="0" w:space="0" w:color="auto"/>
        <w:bottom w:val="none" w:sz="0" w:space="0" w:color="auto"/>
        <w:right w:val="none" w:sz="0" w:space="0" w:color="auto"/>
      </w:divBdr>
    </w:div>
    <w:div w:id="1214274477">
      <w:bodyDiv w:val="1"/>
      <w:marLeft w:val="0"/>
      <w:marRight w:val="0"/>
      <w:marTop w:val="0"/>
      <w:marBottom w:val="0"/>
      <w:divBdr>
        <w:top w:val="none" w:sz="0" w:space="0" w:color="auto"/>
        <w:left w:val="none" w:sz="0" w:space="0" w:color="auto"/>
        <w:bottom w:val="none" w:sz="0" w:space="0" w:color="auto"/>
        <w:right w:val="none" w:sz="0" w:space="0" w:color="auto"/>
      </w:divBdr>
    </w:div>
    <w:div w:id="1222710356">
      <w:bodyDiv w:val="1"/>
      <w:marLeft w:val="0"/>
      <w:marRight w:val="0"/>
      <w:marTop w:val="0"/>
      <w:marBottom w:val="0"/>
      <w:divBdr>
        <w:top w:val="none" w:sz="0" w:space="0" w:color="auto"/>
        <w:left w:val="none" w:sz="0" w:space="0" w:color="auto"/>
        <w:bottom w:val="none" w:sz="0" w:space="0" w:color="auto"/>
        <w:right w:val="none" w:sz="0" w:space="0" w:color="auto"/>
      </w:divBdr>
    </w:div>
    <w:div w:id="1270115951">
      <w:bodyDiv w:val="1"/>
      <w:marLeft w:val="0"/>
      <w:marRight w:val="0"/>
      <w:marTop w:val="0"/>
      <w:marBottom w:val="0"/>
      <w:divBdr>
        <w:top w:val="none" w:sz="0" w:space="0" w:color="auto"/>
        <w:left w:val="none" w:sz="0" w:space="0" w:color="auto"/>
        <w:bottom w:val="none" w:sz="0" w:space="0" w:color="auto"/>
        <w:right w:val="none" w:sz="0" w:space="0" w:color="auto"/>
      </w:divBdr>
    </w:div>
    <w:div w:id="1276988442">
      <w:bodyDiv w:val="1"/>
      <w:marLeft w:val="0"/>
      <w:marRight w:val="0"/>
      <w:marTop w:val="0"/>
      <w:marBottom w:val="0"/>
      <w:divBdr>
        <w:top w:val="none" w:sz="0" w:space="0" w:color="auto"/>
        <w:left w:val="none" w:sz="0" w:space="0" w:color="auto"/>
        <w:bottom w:val="none" w:sz="0" w:space="0" w:color="auto"/>
        <w:right w:val="none" w:sz="0" w:space="0" w:color="auto"/>
      </w:divBdr>
    </w:div>
    <w:div w:id="1285427965">
      <w:bodyDiv w:val="1"/>
      <w:marLeft w:val="0"/>
      <w:marRight w:val="0"/>
      <w:marTop w:val="0"/>
      <w:marBottom w:val="0"/>
      <w:divBdr>
        <w:top w:val="none" w:sz="0" w:space="0" w:color="auto"/>
        <w:left w:val="none" w:sz="0" w:space="0" w:color="auto"/>
        <w:bottom w:val="none" w:sz="0" w:space="0" w:color="auto"/>
        <w:right w:val="none" w:sz="0" w:space="0" w:color="auto"/>
      </w:divBdr>
    </w:div>
    <w:div w:id="1324511600">
      <w:bodyDiv w:val="1"/>
      <w:marLeft w:val="0"/>
      <w:marRight w:val="0"/>
      <w:marTop w:val="0"/>
      <w:marBottom w:val="0"/>
      <w:divBdr>
        <w:top w:val="none" w:sz="0" w:space="0" w:color="auto"/>
        <w:left w:val="none" w:sz="0" w:space="0" w:color="auto"/>
        <w:bottom w:val="none" w:sz="0" w:space="0" w:color="auto"/>
        <w:right w:val="none" w:sz="0" w:space="0" w:color="auto"/>
      </w:divBdr>
    </w:div>
    <w:div w:id="1329596617">
      <w:bodyDiv w:val="1"/>
      <w:marLeft w:val="0"/>
      <w:marRight w:val="0"/>
      <w:marTop w:val="0"/>
      <w:marBottom w:val="0"/>
      <w:divBdr>
        <w:top w:val="none" w:sz="0" w:space="0" w:color="auto"/>
        <w:left w:val="none" w:sz="0" w:space="0" w:color="auto"/>
        <w:bottom w:val="none" w:sz="0" w:space="0" w:color="auto"/>
        <w:right w:val="none" w:sz="0" w:space="0" w:color="auto"/>
      </w:divBdr>
    </w:div>
    <w:div w:id="1345011558">
      <w:bodyDiv w:val="1"/>
      <w:marLeft w:val="0"/>
      <w:marRight w:val="0"/>
      <w:marTop w:val="0"/>
      <w:marBottom w:val="0"/>
      <w:divBdr>
        <w:top w:val="none" w:sz="0" w:space="0" w:color="auto"/>
        <w:left w:val="none" w:sz="0" w:space="0" w:color="auto"/>
        <w:bottom w:val="none" w:sz="0" w:space="0" w:color="auto"/>
        <w:right w:val="none" w:sz="0" w:space="0" w:color="auto"/>
      </w:divBdr>
    </w:div>
    <w:div w:id="1382364413">
      <w:bodyDiv w:val="1"/>
      <w:marLeft w:val="0"/>
      <w:marRight w:val="0"/>
      <w:marTop w:val="0"/>
      <w:marBottom w:val="0"/>
      <w:divBdr>
        <w:top w:val="none" w:sz="0" w:space="0" w:color="auto"/>
        <w:left w:val="none" w:sz="0" w:space="0" w:color="auto"/>
        <w:bottom w:val="none" w:sz="0" w:space="0" w:color="auto"/>
        <w:right w:val="none" w:sz="0" w:space="0" w:color="auto"/>
      </w:divBdr>
    </w:div>
    <w:div w:id="1421901570">
      <w:bodyDiv w:val="1"/>
      <w:marLeft w:val="0"/>
      <w:marRight w:val="0"/>
      <w:marTop w:val="0"/>
      <w:marBottom w:val="0"/>
      <w:divBdr>
        <w:top w:val="none" w:sz="0" w:space="0" w:color="auto"/>
        <w:left w:val="none" w:sz="0" w:space="0" w:color="auto"/>
        <w:bottom w:val="none" w:sz="0" w:space="0" w:color="auto"/>
        <w:right w:val="none" w:sz="0" w:space="0" w:color="auto"/>
      </w:divBdr>
    </w:div>
    <w:div w:id="1485658728">
      <w:bodyDiv w:val="1"/>
      <w:marLeft w:val="0"/>
      <w:marRight w:val="0"/>
      <w:marTop w:val="0"/>
      <w:marBottom w:val="0"/>
      <w:divBdr>
        <w:top w:val="none" w:sz="0" w:space="0" w:color="auto"/>
        <w:left w:val="none" w:sz="0" w:space="0" w:color="auto"/>
        <w:bottom w:val="none" w:sz="0" w:space="0" w:color="auto"/>
        <w:right w:val="none" w:sz="0" w:space="0" w:color="auto"/>
      </w:divBdr>
    </w:div>
    <w:div w:id="1496067851">
      <w:bodyDiv w:val="1"/>
      <w:marLeft w:val="0"/>
      <w:marRight w:val="0"/>
      <w:marTop w:val="0"/>
      <w:marBottom w:val="0"/>
      <w:divBdr>
        <w:top w:val="none" w:sz="0" w:space="0" w:color="auto"/>
        <w:left w:val="none" w:sz="0" w:space="0" w:color="auto"/>
        <w:bottom w:val="none" w:sz="0" w:space="0" w:color="auto"/>
        <w:right w:val="none" w:sz="0" w:space="0" w:color="auto"/>
      </w:divBdr>
    </w:div>
    <w:div w:id="1525750859">
      <w:bodyDiv w:val="1"/>
      <w:marLeft w:val="0"/>
      <w:marRight w:val="0"/>
      <w:marTop w:val="0"/>
      <w:marBottom w:val="0"/>
      <w:divBdr>
        <w:top w:val="none" w:sz="0" w:space="0" w:color="auto"/>
        <w:left w:val="none" w:sz="0" w:space="0" w:color="auto"/>
        <w:bottom w:val="none" w:sz="0" w:space="0" w:color="auto"/>
        <w:right w:val="none" w:sz="0" w:space="0" w:color="auto"/>
      </w:divBdr>
    </w:div>
    <w:div w:id="1552185528">
      <w:bodyDiv w:val="1"/>
      <w:marLeft w:val="0"/>
      <w:marRight w:val="0"/>
      <w:marTop w:val="0"/>
      <w:marBottom w:val="0"/>
      <w:divBdr>
        <w:top w:val="none" w:sz="0" w:space="0" w:color="auto"/>
        <w:left w:val="none" w:sz="0" w:space="0" w:color="auto"/>
        <w:bottom w:val="none" w:sz="0" w:space="0" w:color="auto"/>
        <w:right w:val="none" w:sz="0" w:space="0" w:color="auto"/>
      </w:divBdr>
    </w:div>
    <w:div w:id="1589269736">
      <w:bodyDiv w:val="1"/>
      <w:marLeft w:val="0"/>
      <w:marRight w:val="0"/>
      <w:marTop w:val="0"/>
      <w:marBottom w:val="0"/>
      <w:divBdr>
        <w:top w:val="none" w:sz="0" w:space="0" w:color="auto"/>
        <w:left w:val="none" w:sz="0" w:space="0" w:color="auto"/>
        <w:bottom w:val="none" w:sz="0" w:space="0" w:color="auto"/>
        <w:right w:val="none" w:sz="0" w:space="0" w:color="auto"/>
      </w:divBdr>
    </w:div>
    <w:div w:id="1591810434">
      <w:bodyDiv w:val="1"/>
      <w:marLeft w:val="0"/>
      <w:marRight w:val="0"/>
      <w:marTop w:val="0"/>
      <w:marBottom w:val="0"/>
      <w:divBdr>
        <w:top w:val="none" w:sz="0" w:space="0" w:color="auto"/>
        <w:left w:val="none" w:sz="0" w:space="0" w:color="auto"/>
        <w:bottom w:val="none" w:sz="0" w:space="0" w:color="auto"/>
        <w:right w:val="none" w:sz="0" w:space="0" w:color="auto"/>
      </w:divBdr>
    </w:div>
    <w:div w:id="1613319606">
      <w:bodyDiv w:val="1"/>
      <w:marLeft w:val="0"/>
      <w:marRight w:val="0"/>
      <w:marTop w:val="0"/>
      <w:marBottom w:val="0"/>
      <w:divBdr>
        <w:top w:val="none" w:sz="0" w:space="0" w:color="auto"/>
        <w:left w:val="none" w:sz="0" w:space="0" w:color="auto"/>
        <w:bottom w:val="none" w:sz="0" w:space="0" w:color="auto"/>
        <w:right w:val="none" w:sz="0" w:space="0" w:color="auto"/>
      </w:divBdr>
    </w:div>
    <w:div w:id="1620137547">
      <w:bodyDiv w:val="1"/>
      <w:marLeft w:val="0"/>
      <w:marRight w:val="0"/>
      <w:marTop w:val="0"/>
      <w:marBottom w:val="0"/>
      <w:divBdr>
        <w:top w:val="none" w:sz="0" w:space="0" w:color="auto"/>
        <w:left w:val="none" w:sz="0" w:space="0" w:color="auto"/>
        <w:bottom w:val="none" w:sz="0" w:space="0" w:color="auto"/>
        <w:right w:val="none" w:sz="0" w:space="0" w:color="auto"/>
      </w:divBdr>
    </w:div>
    <w:div w:id="1635064001">
      <w:bodyDiv w:val="1"/>
      <w:marLeft w:val="0"/>
      <w:marRight w:val="0"/>
      <w:marTop w:val="0"/>
      <w:marBottom w:val="0"/>
      <w:divBdr>
        <w:top w:val="none" w:sz="0" w:space="0" w:color="auto"/>
        <w:left w:val="none" w:sz="0" w:space="0" w:color="auto"/>
        <w:bottom w:val="none" w:sz="0" w:space="0" w:color="auto"/>
        <w:right w:val="none" w:sz="0" w:space="0" w:color="auto"/>
      </w:divBdr>
    </w:div>
    <w:div w:id="1638295277">
      <w:bodyDiv w:val="1"/>
      <w:marLeft w:val="0"/>
      <w:marRight w:val="0"/>
      <w:marTop w:val="0"/>
      <w:marBottom w:val="0"/>
      <w:divBdr>
        <w:top w:val="none" w:sz="0" w:space="0" w:color="auto"/>
        <w:left w:val="none" w:sz="0" w:space="0" w:color="auto"/>
        <w:bottom w:val="none" w:sz="0" w:space="0" w:color="auto"/>
        <w:right w:val="none" w:sz="0" w:space="0" w:color="auto"/>
      </w:divBdr>
    </w:div>
    <w:div w:id="1677460425">
      <w:bodyDiv w:val="1"/>
      <w:marLeft w:val="0"/>
      <w:marRight w:val="0"/>
      <w:marTop w:val="0"/>
      <w:marBottom w:val="0"/>
      <w:divBdr>
        <w:top w:val="none" w:sz="0" w:space="0" w:color="auto"/>
        <w:left w:val="none" w:sz="0" w:space="0" w:color="auto"/>
        <w:bottom w:val="none" w:sz="0" w:space="0" w:color="auto"/>
        <w:right w:val="none" w:sz="0" w:space="0" w:color="auto"/>
      </w:divBdr>
    </w:div>
    <w:div w:id="1680741960">
      <w:bodyDiv w:val="1"/>
      <w:marLeft w:val="0"/>
      <w:marRight w:val="0"/>
      <w:marTop w:val="0"/>
      <w:marBottom w:val="0"/>
      <w:divBdr>
        <w:top w:val="none" w:sz="0" w:space="0" w:color="auto"/>
        <w:left w:val="none" w:sz="0" w:space="0" w:color="auto"/>
        <w:bottom w:val="none" w:sz="0" w:space="0" w:color="auto"/>
        <w:right w:val="none" w:sz="0" w:space="0" w:color="auto"/>
      </w:divBdr>
    </w:div>
    <w:div w:id="1680892105">
      <w:bodyDiv w:val="1"/>
      <w:marLeft w:val="0"/>
      <w:marRight w:val="0"/>
      <w:marTop w:val="0"/>
      <w:marBottom w:val="0"/>
      <w:divBdr>
        <w:top w:val="none" w:sz="0" w:space="0" w:color="auto"/>
        <w:left w:val="none" w:sz="0" w:space="0" w:color="auto"/>
        <w:bottom w:val="none" w:sz="0" w:space="0" w:color="auto"/>
        <w:right w:val="none" w:sz="0" w:space="0" w:color="auto"/>
      </w:divBdr>
    </w:div>
    <w:div w:id="1684162409">
      <w:bodyDiv w:val="1"/>
      <w:marLeft w:val="0"/>
      <w:marRight w:val="0"/>
      <w:marTop w:val="0"/>
      <w:marBottom w:val="0"/>
      <w:divBdr>
        <w:top w:val="none" w:sz="0" w:space="0" w:color="auto"/>
        <w:left w:val="none" w:sz="0" w:space="0" w:color="auto"/>
        <w:bottom w:val="none" w:sz="0" w:space="0" w:color="auto"/>
        <w:right w:val="none" w:sz="0" w:space="0" w:color="auto"/>
      </w:divBdr>
    </w:div>
    <w:div w:id="1696466115">
      <w:bodyDiv w:val="1"/>
      <w:marLeft w:val="0"/>
      <w:marRight w:val="0"/>
      <w:marTop w:val="0"/>
      <w:marBottom w:val="0"/>
      <w:divBdr>
        <w:top w:val="none" w:sz="0" w:space="0" w:color="auto"/>
        <w:left w:val="none" w:sz="0" w:space="0" w:color="auto"/>
        <w:bottom w:val="none" w:sz="0" w:space="0" w:color="auto"/>
        <w:right w:val="none" w:sz="0" w:space="0" w:color="auto"/>
      </w:divBdr>
    </w:div>
    <w:div w:id="1739474133">
      <w:bodyDiv w:val="1"/>
      <w:marLeft w:val="0"/>
      <w:marRight w:val="0"/>
      <w:marTop w:val="0"/>
      <w:marBottom w:val="0"/>
      <w:divBdr>
        <w:top w:val="none" w:sz="0" w:space="0" w:color="auto"/>
        <w:left w:val="none" w:sz="0" w:space="0" w:color="auto"/>
        <w:bottom w:val="none" w:sz="0" w:space="0" w:color="auto"/>
        <w:right w:val="none" w:sz="0" w:space="0" w:color="auto"/>
      </w:divBdr>
    </w:div>
    <w:div w:id="1743484777">
      <w:bodyDiv w:val="1"/>
      <w:marLeft w:val="0"/>
      <w:marRight w:val="0"/>
      <w:marTop w:val="0"/>
      <w:marBottom w:val="0"/>
      <w:divBdr>
        <w:top w:val="none" w:sz="0" w:space="0" w:color="auto"/>
        <w:left w:val="none" w:sz="0" w:space="0" w:color="auto"/>
        <w:bottom w:val="none" w:sz="0" w:space="0" w:color="auto"/>
        <w:right w:val="none" w:sz="0" w:space="0" w:color="auto"/>
      </w:divBdr>
    </w:div>
    <w:div w:id="1747727737">
      <w:bodyDiv w:val="1"/>
      <w:marLeft w:val="0"/>
      <w:marRight w:val="0"/>
      <w:marTop w:val="0"/>
      <w:marBottom w:val="0"/>
      <w:divBdr>
        <w:top w:val="none" w:sz="0" w:space="0" w:color="auto"/>
        <w:left w:val="none" w:sz="0" w:space="0" w:color="auto"/>
        <w:bottom w:val="none" w:sz="0" w:space="0" w:color="auto"/>
        <w:right w:val="none" w:sz="0" w:space="0" w:color="auto"/>
      </w:divBdr>
    </w:div>
    <w:div w:id="1772699110">
      <w:bodyDiv w:val="1"/>
      <w:marLeft w:val="0"/>
      <w:marRight w:val="0"/>
      <w:marTop w:val="0"/>
      <w:marBottom w:val="0"/>
      <w:divBdr>
        <w:top w:val="none" w:sz="0" w:space="0" w:color="auto"/>
        <w:left w:val="none" w:sz="0" w:space="0" w:color="auto"/>
        <w:bottom w:val="none" w:sz="0" w:space="0" w:color="auto"/>
        <w:right w:val="none" w:sz="0" w:space="0" w:color="auto"/>
      </w:divBdr>
    </w:div>
    <w:div w:id="1807966606">
      <w:bodyDiv w:val="1"/>
      <w:marLeft w:val="0"/>
      <w:marRight w:val="0"/>
      <w:marTop w:val="0"/>
      <w:marBottom w:val="0"/>
      <w:divBdr>
        <w:top w:val="none" w:sz="0" w:space="0" w:color="auto"/>
        <w:left w:val="none" w:sz="0" w:space="0" w:color="auto"/>
        <w:bottom w:val="none" w:sz="0" w:space="0" w:color="auto"/>
        <w:right w:val="none" w:sz="0" w:space="0" w:color="auto"/>
      </w:divBdr>
    </w:div>
    <w:div w:id="1829587721">
      <w:bodyDiv w:val="1"/>
      <w:marLeft w:val="0"/>
      <w:marRight w:val="0"/>
      <w:marTop w:val="0"/>
      <w:marBottom w:val="0"/>
      <w:divBdr>
        <w:top w:val="none" w:sz="0" w:space="0" w:color="auto"/>
        <w:left w:val="none" w:sz="0" w:space="0" w:color="auto"/>
        <w:bottom w:val="none" w:sz="0" w:space="0" w:color="auto"/>
        <w:right w:val="none" w:sz="0" w:space="0" w:color="auto"/>
      </w:divBdr>
    </w:div>
    <w:div w:id="1829861912">
      <w:bodyDiv w:val="1"/>
      <w:marLeft w:val="0"/>
      <w:marRight w:val="0"/>
      <w:marTop w:val="0"/>
      <w:marBottom w:val="0"/>
      <w:divBdr>
        <w:top w:val="none" w:sz="0" w:space="0" w:color="auto"/>
        <w:left w:val="none" w:sz="0" w:space="0" w:color="auto"/>
        <w:bottom w:val="none" w:sz="0" w:space="0" w:color="auto"/>
        <w:right w:val="none" w:sz="0" w:space="0" w:color="auto"/>
      </w:divBdr>
    </w:div>
    <w:div w:id="1833332813">
      <w:bodyDiv w:val="1"/>
      <w:marLeft w:val="0"/>
      <w:marRight w:val="0"/>
      <w:marTop w:val="0"/>
      <w:marBottom w:val="0"/>
      <w:divBdr>
        <w:top w:val="none" w:sz="0" w:space="0" w:color="auto"/>
        <w:left w:val="none" w:sz="0" w:space="0" w:color="auto"/>
        <w:bottom w:val="none" w:sz="0" w:space="0" w:color="auto"/>
        <w:right w:val="none" w:sz="0" w:space="0" w:color="auto"/>
      </w:divBdr>
    </w:div>
    <w:div w:id="1900630325">
      <w:bodyDiv w:val="1"/>
      <w:marLeft w:val="0"/>
      <w:marRight w:val="0"/>
      <w:marTop w:val="0"/>
      <w:marBottom w:val="0"/>
      <w:divBdr>
        <w:top w:val="none" w:sz="0" w:space="0" w:color="auto"/>
        <w:left w:val="none" w:sz="0" w:space="0" w:color="auto"/>
        <w:bottom w:val="none" w:sz="0" w:space="0" w:color="auto"/>
        <w:right w:val="none" w:sz="0" w:space="0" w:color="auto"/>
      </w:divBdr>
    </w:div>
    <w:div w:id="1905793175">
      <w:bodyDiv w:val="1"/>
      <w:marLeft w:val="0"/>
      <w:marRight w:val="0"/>
      <w:marTop w:val="0"/>
      <w:marBottom w:val="0"/>
      <w:divBdr>
        <w:top w:val="none" w:sz="0" w:space="0" w:color="auto"/>
        <w:left w:val="none" w:sz="0" w:space="0" w:color="auto"/>
        <w:bottom w:val="none" w:sz="0" w:space="0" w:color="auto"/>
        <w:right w:val="none" w:sz="0" w:space="0" w:color="auto"/>
      </w:divBdr>
    </w:div>
    <w:div w:id="1933664733">
      <w:bodyDiv w:val="1"/>
      <w:marLeft w:val="0"/>
      <w:marRight w:val="0"/>
      <w:marTop w:val="0"/>
      <w:marBottom w:val="0"/>
      <w:divBdr>
        <w:top w:val="none" w:sz="0" w:space="0" w:color="auto"/>
        <w:left w:val="none" w:sz="0" w:space="0" w:color="auto"/>
        <w:bottom w:val="none" w:sz="0" w:space="0" w:color="auto"/>
        <w:right w:val="none" w:sz="0" w:space="0" w:color="auto"/>
      </w:divBdr>
    </w:div>
    <w:div w:id="1947271925">
      <w:bodyDiv w:val="1"/>
      <w:marLeft w:val="0"/>
      <w:marRight w:val="0"/>
      <w:marTop w:val="0"/>
      <w:marBottom w:val="0"/>
      <w:divBdr>
        <w:top w:val="none" w:sz="0" w:space="0" w:color="auto"/>
        <w:left w:val="none" w:sz="0" w:space="0" w:color="auto"/>
        <w:bottom w:val="none" w:sz="0" w:space="0" w:color="auto"/>
        <w:right w:val="none" w:sz="0" w:space="0" w:color="auto"/>
      </w:divBdr>
    </w:div>
    <w:div w:id="1960335984">
      <w:bodyDiv w:val="1"/>
      <w:marLeft w:val="0"/>
      <w:marRight w:val="0"/>
      <w:marTop w:val="0"/>
      <w:marBottom w:val="0"/>
      <w:divBdr>
        <w:top w:val="none" w:sz="0" w:space="0" w:color="auto"/>
        <w:left w:val="none" w:sz="0" w:space="0" w:color="auto"/>
        <w:bottom w:val="none" w:sz="0" w:space="0" w:color="auto"/>
        <w:right w:val="none" w:sz="0" w:space="0" w:color="auto"/>
      </w:divBdr>
    </w:div>
    <w:div w:id="1961495930">
      <w:bodyDiv w:val="1"/>
      <w:marLeft w:val="0"/>
      <w:marRight w:val="0"/>
      <w:marTop w:val="0"/>
      <w:marBottom w:val="0"/>
      <w:divBdr>
        <w:top w:val="none" w:sz="0" w:space="0" w:color="auto"/>
        <w:left w:val="none" w:sz="0" w:space="0" w:color="auto"/>
        <w:bottom w:val="none" w:sz="0" w:space="0" w:color="auto"/>
        <w:right w:val="none" w:sz="0" w:space="0" w:color="auto"/>
      </w:divBdr>
    </w:div>
    <w:div w:id="1962803424">
      <w:bodyDiv w:val="1"/>
      <w:marLeft w:val="0"/>
      <w:marRight w:val="0"/>
      <w:marTop w:val="0"/>
      <w:marBottom w:val="0"/>
      <w:divBdr>
        <w:top w:val="none" w:sz="0" w:space="0" w:color="auto"/>
        <w:left w:val="none" w:sz="0" w:space="0" w:color="auto"/>
        <w:bottom w:val="none" w:sz="0" w:space="0" w:color="auto"/>
        <w:right w:val="none" w:sz="0" w:space="0" w:color="auto"/>
      </w:divBdr>
    </w:div>
    <w:div w:id="1965230579">
      <w:bodyDiv w:val="1"/>
      <w:marLeft w:val="0"/>
      <w:marRight w:val="0"/>
      <w:marTop w:val="0"/>
      <w:marBottom w:val="0"/>
      <w:divBdr>
        <w:top w:val="none" w:sz="0" w:space="0" w:color="auto"/>
        <w:left w:val="none" w:sz="0" w:space="0" w:color="auto"/>
        <w:bottom w:val="none" w:sz="0" w:space="0" w:color="auto"/>
        <w:right w:val="none" w:sz="0" w:space="0" w:color="auto"/>
      </w:divBdr>
    </w:div>
    <w:div w:id="1971469686">
      <w:bodyDiv w:val="1"/>
      <w:marLeft w:val="0"/>
      <w:marRight w:val="0"/>
      <w:marTop w:val="0"/>
      <w:marBottom w:val="0"/>
      <w:divBdr>
        <w:top w:val="none" w:sz="0" w:space="0" w:color="auto"/>
        <w:left w:val="none" w:sz="0" w:space="0" w:color="auto"/>
        <w:bottom w:val="none" w:sz="0" w:space="0" w:color="auto"/>
        <w:right w:val="none" w:sz="0" w:space="0" w:color="auto"/>
      </w:divBdr>
    </w:div>
    <w:div w:id="2004240406">
      <w:bodyDiv w:val="1"/>
      <w:marLeft w:val="0"/>
      <w:marRight w:val="0"/>
      <w:marTop w:val="0"/>
      <w:marBottom w:val="0"/>
      <w:divBdr>
        <w:top w:val="none" w:sz="0" w:space="0" w:color="auto"/>
        <w:left w:val="none" w:sz="0" w:space="0" w:color="auto"/>
        <w:bottom w:val="none" w:sz="0" w:space="0" w:color="auto"/>
        <w:right w:val="none" w:sz="0" w:space="0" w:color="auto"/>
      </w:divBdr>
    </w:div>
    <w:div w:id="2007828255">
      <w:bodyDiv w:val="1"/>
      <w:marLeft w:val="0"/>
      <w:marRight w:val="0"/>
      <w:marTop w:val="0"/>
      <w:marBottom w:val="0"/>
      <w:divBdr>
        <w:top w:val="none" w:sz="0" w:space="0" w:color="auto"/>
        <w:left w:val="none" w:sz="0" w:space="0" w:color="auto"/>
        <w:bottom w:val="none" w:sz="0" w:space="0" w:color="auto"/>
        <w:right w:val="none" w:sz="0" w:space="0" w:color="auto"/>
      </w:divBdr>
    </w:div>
    <w:div w:id="2013600433">
      <w:bodyDiv w:val="1"/>
      <w:marLeft w:val="0"/>
      <w:marRight w:val="0"/>
      <w:marTop w:val="0"/>
      <w:marBottom w:val="0"/>
      <w:divBdr>
        <w:top w:val="none" w:sz="0" w:space="0" w:color="auto"/>
        <w:left w:val="none" w:sz="0" w:space="0" w:color="auto"/>
        <w:bottom w:val="none" w:sz="0" w:space="0" w:color="auto"/>
        <w:right w:val="none" w:sz="0" w:space="0" w:color="auto"/>
      </w:divBdr>
    </w:div>
    <w:div w:id="2015450613">
      <w:bodyDiv w:val="1"/>
      <w:marLeft w:val="0"/>
      <w:marRight w:val="0"/>
      <w:marTop w:val="0"/>
      <w:marBottom w:val="0"/>
      <w:divBdr>
        <w:top w:val="none" w:sz="0" w:space="0" w:color="auto"/>
        <w:left w:val="none" w:sz="0" w:space="0" w:color="auto"/>
        <w:bottom w:val="none" w:sz="0" w:space="0" w:color="auto"/>
        <w:right w:val="none" w:sz="0" w:space="0" w:color="auto"/>
      </w:divBdr>
    </w:div>
    <w:div w:id="2027708357">
      <w:bodyDiv w:val="1"/>
      <w:marLeft w:val="0"/>
      <w:marRight w:val="0"/>
      <w:marTop w:val="0"/>
      <w:marBottom w:val="0"/>
      <w:divBdr>
        <w:top w:val="none" w:sz="0" w:space="0" w:color="auto"/>
        <w:left w:val="none" w:sz="0" w:space="0" w:color="auto"/>
        <w:bottom w:val="none" w:sz="0" w:space="0" w:color="auto"/>
        <w:right w:val="none" w:sz="0" w:space="0" w:color="auto"/>
      </w:divBdr>
    </w:div>
    <w:div w:id="2032296224">
      <w:bodyDiv w:val="1"/>
      <w:marLeft w:val="0"/>
      <w:marRight w:val="0"/>
      <w:marTop w:val="0"/>
      <w:marBottom w:val="0"/>
      <w:divBdr>
        <w:top w:val="none" w:sz="0" w:space="0" w:color="auto"/>
        <w:left w:val="none" w:sz="0" w:space="0" w:color="auto"/>
        <w:bottom w:val="none" w:sz="0" w:space="0" w:color="auto"/>
        <w:right w:val="none" w:sz="0" w:space="0" w:color="auto"/>
      </w:divBdr>
    </w:div>
    <w:div w:id="2035035607">
      <w:bodyDiv w:val="1"/>
      <w:marLeft w:val="0"/>
      <w:marRight w:val="0"/>
      <w:marTop w:val="0"/>
      <w:marBottom w:val="0"/>
      <w:divBdr>
        <w:top w:val="none" w:sz="0" w:space="0" w:color="auto"/>
        <w:left w:val="none" w:sz="0" w:space="0" w:color="auto"/>
        <w:bottom w:val="none" w:sz="0" w:space="0" w:color="auto"/>
        <w:right w:val="none" w:sz="0" w:space="0" w:color="auto"/>
      </w:divBdr>
    </w:div>
    <w:div w:id="2043894501">
      <w:bodyDiv w:val="1"/>
      <w:marLeft w:val="0"/>
      <w:marRight w:val="0"/>
      <w:marTop w:val="0"/>
      <w:marBottom w:val="0"/>
      <w:divBdr>
        <w:top w:val="none" w:sz="0" w:space="0" w:color="auto"/>
        <w:left w:val="none" w:sz="0" w:space="0" w:color="auto"/>
        <w:bottom w:val="none" w:sz="0" w:space="0" w:color="auto"/>
        <w:right w:val="none" w:sz="0" w:space="0" w:color="auto"/>
      </w:divBdr>
    </w:div>
    <w:div w:id="2103140792">
      <w:bodyDiv w:val="1"/>
      <w:marLeft w:val="0"/>
      <w:marRight w:val="0"/>
      <w:marTop w:val="0"/>
      <w:marBottom w:val="0"/>
      <w:divBdr>
        <w:top w:val="none" w:sz="0" w:space="0" w:color="auto"/>
        <w:left w:val="none" w:sz="0" w:space="0" w:color="auto"/>
        <w:bottom w:val="none" w:sz="0" w:space="0" w:color="auto"/>
        <w:right w:val="none" w:sz="0" w:space="0" w:color="auto"/>
      </w:divBdr>
    </w:div>
    <w:div w:id="2121608564">
      <w:bodyDiv w:val="1"/>
      <w:marLeft w:val="0"/>
      <w:marRight w:val="0"/>
      <w:marTop w:val="0"/>
      <w:marBottom w:val="0"/>
      <w:divBdr>
        <w:top w:val="none" w:sz="0" w:space="0" w:color="auto"/>
        <w:left w:val="none" w:sz="0" w:space="0" w:color="auto"/>
        <w:bottom w:val="none" w:sz="0" w:space="0" w:color="auto"/>
        <w:right w:val="none" w:sz="0" w:space="0" w:color="auto"/>
      </w:divBdr>
    </w:div>
    <w:div w:id="212769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Id="rId10" Target="footer2.xml" Type="http://schemas.openxmlformats.org/officeDocument/2006/relationships/footer" /><Relationship Type="http://schemas.openxmlformats.org/officeDocument/2006/relationships/image" Id="rId57" Target="media/rId57.png" /><Relationship Type="http://schemas.openxmlformats.org/officeDocument/2006/relationships/image" Id="rId60" Target="media/rId60.png" /><Relationship Type="http://schemas.openxmlformats.org/officeDocument/2006/relationships/image" Id="rId26" Target="media/rId26.png" /><Relationship Type="http://schemas.openxmlformats.org/officeDocument/2006/relationships/image" Id="rId31" Target="media/rId31.png" /><Relationship Type="http://schemas.openxmlformats.org/officeDocument/2006/relationships/image" Id="rId40" Target="media/rId40.png" /><Relationship Type="http://schemas.openxmlformats.org/officeDocument/2006/relationships/image" Id="rId50" Target="media/rId50.png" /><Relationship Type="http://schemas.openxmlformats.org/officeDocument/2006/relationships/image" Id="rId72" Target="media/rId72.png" /><Relationship Type="http://schemas.openxmlformats.org/officeDocument/2006/relationships/image" Id="rId68" Target="media/rId68.png" /><Relationship Type="http://schemas.openxmlformats.org/officeDocument/2006/relationships/image" Id="rId76" Target="media/rId76.png" /><Relationship Type="http://schemas.openxmlformats.org/officeDocument/2006/relationships/image" Id="rId80" Target="media/rId80.png" /><Relationship Type="http://schemas.openxmlformats.org/officeDocument/2006/relationships/image" Id="rId88" Target="media/rId88.png" /><Relationship Type="http://schemas.openxmlformats.org/officeDocument/2006/relationships/image" Id="rId84" Target="media/rId84.png" /><Relationship Type="http://schemas.openxmlformats.org/officeDocument/2006/relationships/image" Id="rId92" Target="media/rId92.png"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44" Target="media/rId44.png" /><Relationship Type="http://schemas.openxmlformats.org/officeDocument/2006/relationships/image" Id="rId47" Target="media/rId47.png" /><Relationship Type="http://schemas.openxmlformats.org/officeDocument/2006/relationships/image" Id="rId54" Target="media/rId54.png" /><Relationship Type="http://schemas.openxmlformats.org/officeDocument/2006/relationships/image" Id="rId37" Target="media/rId37.png" /><Relationship Type="http://schemas.openxmlformats.org/officeDocument/2006/relationships/hyperlink" Id="rId67" Target="https://trade.ihs.ac.at/" TargetMode="External" /></Relationships>
</file>

<file path=word/_rels/footnotes.xml.rels><?xml version="1.0" encoding="UTF-8"?><Relationships xmlns="http://schemas.openxmlformats.org/package/2006/relationships"><Relationship Type="http://schemas.openxmlformats.org/officeDocument/2006/relationships/hyperlink" Id="rId67" Target="https://trade.ihs.ac.at/" TargetMode="External" /></Relationships>
</file>

<file path=word/theme/theme1.xml><?xml version="1.0" encoding="utf-8"?>
<a:theme xmlns:a="http://schemas.openxmlformats.org/drawingml/2006/main" name="Larissa-Design">
  <a:themeElements>
    <a:clrScheme name="Benutzerdefiniert 1">
      <a:dk1>
        <a:sysClr val="windowText" lastClr="000000"/>
      </a:dk1>
      <a:lt1>
        <a:sysClr val="window" lastClr="FFFFFF"/>
      </a:lt1>
      <a:dk2>
        <a:srgbClr val="1F497D"/>
      </a:dk2>
      <a:lt2>
        <a:srgbClr val="EEECE1"/>
      </a:lt2>
      <a:accent1>
        <a:srgbClr val="000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enutzerdefiniert 1">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2038</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BMWFW</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2026-10-15T09:51:15Z</dcterms:created>
  <dcterms:modified xsi:type="dcterms:W3CDTF">2026-10-15T09:51:15Z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ditor">
    <vt:lpwstr>source</vt:lpwstr>
  </property>
  <property fmtid="{D5CDD505-2E9C-101B-9397-08002B2CF9AE}" pid="4" name="execute">
    <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other-links">
    <vt:lpwstr/>
  </property>
  <property fmtid="{D5CDD505-2E9C-101B-9397-08002B2CF9AE}" pid="10" name="toc-title">
    <vt:lpwstr>Table of contents</vt:lpwstr>
  </property>
</Properties>
</file>